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12768">
      <w:pPr>
        <w:spacing w:after="0" w:line="276" w:lineRule="auto"/>
        <w:jc w:val="center"/>
        <w:rPr>
          <w:rFonts w:eastAsia="Times New Roman" w:cs="Times New Roman"/>
          <w:b/>
          <w:sz w:val="28"/>
          <w:szCs w:val="28"/>
        </w:rPr>
      </w:pPr>
      <w:r>
        <w:rPr>
          <w:rFonts w:eastAsia="Times New Roman" w:cs="Times New Roman"/>
          <w:b/>
          <w:sz w:val="28"/>
          <w:szCs w:val="28"/>
        </w:rPr>
        <w:t>SKRIPSI</w:t>
      </w:r>
    </w:p>
    <w:p w14:paraId="63B16A71">
      <w:pPr>
        <w:spacing w:after="0" w:line="276" w:lineRule="auto"/>
        <w:jc w:val="center"/>
        <w:rPr>
          <w:rFonts w:eastAsia="Times New Roman" w:cs="Times New Roman"/>
          <w:b/>
          <w:sz w:val="26"/>
          <w:szCs w:val="26"/>
        </w:rPr>
      </w:pPr>
    </w:p>
    <w:p w14:paraId="284D4A98">
      <w:pPr>
        <w:spacing w:after="0" w:line="240" w:lineRule="auto"/>
        <w:jc w:val="center"/>
        <w:rPr>
          <w:rFonts w:eastAsia="Times New Roman" w:cs="Times New Roman"/>
          <w:b/>
          <w:sz w:val="27"/>
          <w:szCs w:val="27"/>
        </w:rPr>
      </w:pPr>
      <w:r>
        <w:rPr>
          <w:rFonts w:eastAsia="Times New Roman" w:cs="Times New Roman"/>
          <w:b/>
          <w:sz w:val="27"/>
          <w:szCs w:val="27"/>
        </w:rPr>
        <w:t>PENGEMBANGAN ALGORITMA METAHEURISTIK</w:t>
      </w:r>
      <w:r>
        <w:rPr>
          <w:rFonts w:eastAsia="Times New Roman" w:cs="Times New Roman"/>
          <w:b/>
          <w:sz w:val="27"/>
          <w:szCs w:val="27"/>
          <w:lang w:val="en-US"/>
        </w:rPr>
        <w:t xml:space="preserve"> </w:t>
      </w:r>
      <w:r>
        <w:rPr>
          <w:rFonts w:eastAsia="Times New Roman" w:cs="Times New Roman"/>
          <w:b/>
          <w:sz w:val="27"/>
          <w:szCs w:val="27"/>
        </w:rPr>
        <w:t>IFPO</w:t>
      </w:r>
      <w:r>
        <w:rPr>
          <w:rFonts w:eastAsia="Times New Roman" w:cs="Times New Roman"/>
          <w:b/>
          <w:sz w:val="27"/>
          <w:szCs w:val="27"/>
          <w:lang w:val="en-US"/>
        </w:rPr>
        <w:t>A-</w:t>
      </w:r>
      <w:r>
        <w:rPr>
          <w:rFonts w:eastAsia="Times New Roman" w:cs="Times New Roman"/>
          <w:b/>
          <w:sz w:val="27"/>
          <w:szCs w:val="27"/>
        </w:rPr>
        <w:t>X UNTUK OPTIMASI MULTIOBJEKTIF</w:t>
      </w:r>
      <w:r>
        <w:rPr>
          <w:rFonts w:eastAsia="Times New Roman" w:cs="Times New Roman"/>
          <w:b/>
          <w:sz w:val="27"/>
          <w:szCs w:val="27"/>
          <w:lang w:val="en-US"/>
        </w:rPr>
        <w:t xml:space="preserve"> </w:t>
      </w:r>
      <w:r>
        <w:rPr>
          <w:rFonts w:eastAsia="Times New Roman" w:cs="Times New Roman"/>
          <w:b/>
          <w:i/>
          <w:sz w:val="27"/>
          <w:szCs w:val="27"/>
        </w:rPr>
        <w:t>TRANSFORMER</w:t>
      </w:r>
      <w:r>
        <w:rPr>
          <w:rFonts w:eastAsia="Times New Roman" w:cs="Times New Roman"/>
          <w:b/>
          <w:i/>
          <w:sz w:val="27"/>
          <w:szCs w:val="27"/>
        </w:rPr>
        <w:br w:type="textWrapping"/>
      </w:r>
      <w:r>
        <w:rPr>
          <w:rFonts w:eastAsia="Times New Roman" w:cs="Times New Roman"/>
          <w:b/>
          <w:sz w:val="27"/>
          <w:szCs w:val="27"/>
        </w:rPr>
        <w:t>DALAM PERAMALAN</w:t>
      </w:r>
      <w:r>
        <w:rPr>
          <w:rFonts w:eastAsia="Times New Roman" w:cs="Times New Roman"/>
          <w:b/>
          <w:sz w:val="27"/>
          <w:szCs w:val="27"/>
          <w:lang w:val="en-US"/>
        </w:rPr>
        <w:t xml:space="preserve"> </w:t>
      </w:r>
      <w:r>
        <w:rPr>
          <w:rFonts w:eastAsia="Times New Roman" w:cs="Times New Roman"/>
          <w:b/>
          <w:sz w:val="27"/>
          <w:szCs w:val="27"/>
        </w:rPr>
        <w:t>CURAH HUJAN DASARIAN:</w:t>
      </w:r>
      <w:r>
        <w:rPr>
          <w:rFonts w:eastAsia="Times New Roman" w:cs="Times New Roman"/>
          <w:b/>
          <w:sz w:val="27"/>
          <w:szCs w:val="27"/>
        </w:rPr>
        <w:br w:type="textWrapping"/>
      </w:r>
      <w:r>
        <w:rPr>
          <w:rFonts w:eastAsia="Times New Roman" w:cs="Times New Roman"/>
          <w:b/>
          <w:sz w:val="27"/>
          <w:szCs w:val="27"/>
        </w:rPr>
        <w:t xml:space="preserve">STUDI </w:t>
      </w:r>
      <w:r>
        <w:rPr>
          <w:rFonts w:eastAsia="Times New Roman" w:cs="Times New Roman"/>
          <w:b/>
          <w:i/>
          <w:sz w:val="27"/>
          <w:szCs w:val="27"/>
        </w:rPr>
        <w:t>ROBUSTNESS</w:t>
      </w:r>
      <w:r>
        <w:rPr>
          <w:rFonts w:eastAsia="Times New Roman" w:cs="Times New Roman"/>
          <w:b/>
          <w:sz w:val="27"/>
          <w:szCs w:val="27"/>
          <w:lang w:val="en-US"/>
        </w:rPr>
        <w:t xml:space="preserve"> </w:t>
      </w:r>
      <w:r>
        <w:rPr>
          <w:rFonts w:eastAsia="Times New Roman" w:cs="Times New Roman"/>
          <w:b/>
          <w:sz w:val="27"/>
          <w:szCs w:val="27"/>
        </w:rPr>
        <w:t>ANTAR-WILAYAH</w:t>
      </w:r>
      <w:r>
        <w:rPr>
          <w:rFonts w:eastAsia="Times New Roman" w:cs="Times New Roman"/>
          <w:b/>
          <w:sz w:val="27"/>
          <w:szCs w:val="27"/>
        </w:rPr>
        <w:br w:type="textWrapping"/>
      </w:r>
      <w:r>
        <w:rPr>
          <w:rFonts w:eastAsia="Times New Roman" w:cs="Times New Roman"/>
          <w:b/>
          <w:sz w:val="27"/>
          <w:szCs w:val="27"/>
        </w:rPr>
        <w:t>REPRESENTATIF</w:t>
      </w:r>
      <w:r>
        <w:rPr>
          <w:rFonts w:eastAsia="Times New Roman" w:cs="Times New Roman"/>
          <w:b/>
          <w:sz w:val="27"/>
          <w:szCs w:val="27"/>
          <w:lang w:val="en-US"/>
        </w:rPr>
        <w:t xml:space="preserve"> </w:t>
      </w:r>
      <w:r>
        <w:rPr>
          <w:rFonts w:eastAsia="Times New Roman" w:cs="Times New Roman"/>
          <w:b/>
          <w:sz w:val="27"/>
          <w:szCs w:val="27"/>
        </w:rPr>
        <w:t>DI INDONESIA </w:t>
      </w:r>
    </w:p>
    <w:p w14:paraId="38335F05">
      <w:pPr>
        <w:spacing w:after="0" w:line="240" w:lineRule="auto"/>
        <w:rPr>
          <w:rFonts w:eastAsia="Times New Roman" w:cs="Times New Roman"/>
          <w:b/>
          <w:sz w:val="27"/>
          <w:szCs w:val="27"/>
        </w:rPr>
      </w:pPr>
    </w:p>
    <w:p w14:paraId="25D10654">
      <w:pPr>
        <w:spacing w:before="280" w:after="0" w:line="240" w:lineRule="auto"/>
        <w:jc w:val="center"/>
        <w:rPr>
          <w:rFonts w:eastAsia="Times New Roman" w:cs="Times New Roman"/>
          <w:b/>
          <w:i/>
          <w:sz w:val="27"/>
          <w:szCs w:val="27"/>
          <w:lang w:val="en-US"/>
        </w:rPr>
      </w:pPr>
      <w:bookmarkStart w:id="0" w:name="_Hlk236091003"/>
      <w:r>
        <w:rPr>
          <w:rFonts w:eastAsia="Times New Roman" w:cs="Times New Roman"/>
          <w:b/>
          <w:i/>
          <w:sz w:val="27"/>
          <w:szCs w:val="27"/>
          <w:lang w:val="en-US"/>
        </w:rPr>
        <w:t>DEVELOPMENT OF THE IFPOA-X METAHEURISTIC ALGORITHM FOR MULTIOBJECTIVE OPTIMIZATION OF TRANSFORMERS IN DECADAL RAINFALL FORECASTING:</w:t>
      </w:r>
      <w:r>
        <w:rPr>
          <w:rFonts w:eastAsia="Times New Roman" w:cs="Times New Roman"/>
          <w:b/>
          <w:i/>
          <w:sz w:val="27"/>
          <w:szCs w:val="27"/>
          <w:lang w:val="en-US"/>
        </w:rPr>
        <w:br w:type="textWrapping"/>
      </w:r>
      <w:r>
        <w:rPr>
          <w:rFonts w:eastAsia="Times New Roman" w:cs="Times New Roman"/>
          <w:b/>
          <w:i/>
          <w:sz w:val="27"/>
          <w:szCs w:val="27"/>
          <w:lang w:val="en-US"/>
        </w:rPr>
        <w:t>AN INTER-REGIONAL ROBUSTNESS STUDY IN INDONESIA</w:t>
      </w:r>
    </w:p>
    <w:bookmarkEnd w:id="0"/>
    <w:p w14:paraId="5EEC913E">
      <w:pPr>
        <w:spacing w:before="280" w:after="0" w:line="240" w:lineRule="auto"/>
        <w:jc w:val="center"/>
        <w:rPr>
          <w:rFonts w:eastAsia="Times New Roman" w:cs="Times New Roman"/>
          <w:i/>
          <w:sz w:val="27"/>
          <w:szCs w:val="27"/>
          <w:lang w:val="en-US"/>
        </w:rPr>
      </w:pPr>
    </w:p>
    <w:p w14:paraId="348CD15D">
      <w:pPr>
        <w:spacing w:after="0" w:line="276" w:lineRule="auto"/>
        <w:rPr>
          <w:rFonts w:eastAsia="Times New Roman" w:cs="Times New Roman"/>
          <w:b/>
          <w:sz w:val="28"/>
          <w:szCs w:val="28"/>
        </w:rPr>
      </w:pPr>
    </w:p>
    <w:p w14:paraId="1948AE76">
      <w:pPr>
        <w:spacing w:after="0" w:line="276" w:lineRule="auto"/>
        <w:jc w:val="center"/>
        <w:rPr>
          <w:rFonts w:eastAsia="Times New Roman" w:cs="Times New Roman"/>
          <w:b/>
          <w:sz w:val="28"/>
          <w:szCs w:val="28"/>
        </w:rPr>
      </w:pPr>
    </w:p>
    <w:p w14:paraId="145997E5">
      <w:pPr>
        <w:spacing w:after="0" w:line="276" w:lineRule="auto"/>
        <w:jc w:val="center"/>
        <w:rPr>
          <w:rFonts w:eastAsia="Times New Roman" w:cs="Times New Roman"/>
          <w:b/>
          <w:sz w:val="28"/>
          <w:szCs w:val="28"/>
        </w:rPr>
      </w:pPr>
      <w:r>
        <w:rPr>
          <w:rFonts w:eastAsia="Times New Roman" w:cs="Times New Roman"/>
          <w:sz w:val="28"/>
          <w:szCs w:val="28"/>
        </w:rPr>
        <w:drawing>
          <wp:inline distT="0" distB="0" distL="0" distR="0">
            <wp:extent cx="1979930" cy="1979930"/>
            <wp:effectExtent l="0" t="0" r="0" b="0"/>
            <wp:docPr id="2076888053" name="image25.jpg" descr="C:\Users\Faizal\Downloads\WhatsApp Image 2018-02-01 at 20.42.00.jpeg "/>
            <wp:cNvGraphicFramePr/>
            <a:graphic xmlns:a="http://schemas.openxmlformats.org/drawingml/2006/main">
              <a:graphicData uri="http://schemas.openxmlformats.org/drawingml/2006/picture">
                <pic:pic xmlns:pic="http://schemas.openxmlformats.org/drawingml/2006/picture">
                  <pic:nvPicPr>
                    <pic:cNvPr id="2076888053" name="image25.jpg" descr="C:\Users\Faizal\Downloads\WhatsApp Image 2018-02-01 at 20.42.00.jpeg "/>
                    <pic:cNvPicPr preferRelativeResize="0"/>
                  </pic:nvPicPr>
                  <pic:blipFill>
                    <a:blip r:embed="rId15"/>
                    <a:srcRect/>
                    <a:stretch>
                      <a:fillRect/>
                    </a:stretch>
                  </pic:blipFill>
                  <pic:spPr>
                    <a:xfrm>
                      <a:off x="0" y="0"/>
                      <a:ext cx="1980000" cy="1980000"/>
                    </a:xfrm>
                    <a:prstGeom prst="rect">
                      <a:avLst/>
                    </a:prstGeom>
                  </pic:spPr>
                </pic:pic>
              </a:graphicData>
            </a:graphic>
          </wp:inline>
        </w:drawing>
      </w:r>
    </w:p>
    <w:p w14:paraId="4C24FA6B">
      <w:pPr>
        <w:spacing w:after="0" w:line="276" w:lineRule="auto"/>
        <w:jc w:val="center"/>
        <w:rPr>
          <w:rFonts w:eastAsia="Times New Roman" w:cs="Times New Roman"/>
          <w:b/>
          <w:color w:val="000000"/>
          <w:sz w:val="28"/>
          <w:szCs w:val="28"/>
        </w:rPr>
      </w:pPr>
    </w:p>
    <w:p w14:paraId="41A7A6A0">
      <w:pPr>
        <w:spacing w:after="0" w:line="276" w:lineRule="auto"/>
        <w:jc w:val="center"/>
        <w:rPr>
          <w:rFonts w:eastAsia="Times New Roman" w:cs="Times New Roman"/>
          <w:b/>
          <w:color w:val="000000"/>
          <w:sz w:val="28"/>
          <w:szCs w:val="28"/>
        </w:rPr>
      </w:pPr>
    </w:p>
    <w:p w14:paraId="57B0141A">
      <w:pPr>
        <w:spacing w:after="0" w:line="276" w:lineRule="auto"/>
        <w:jc w:val="center"/>
        <w:rPr>
          <w:rFonts w:eastAsia="Times New Roman" w:cs="Times New Roman"/>
          <w:b/>
          <w:sz w:val="28"/>
          <w:szCs w:val="28"/>
          <w:lang w:val="en-US"/>
        </w:rPr>
      </w:pPr>
      <w:r>
        <w:rPr>
          <w:rFonts w:eastAsia="Times New Roman" w:cs="Times New Roman"/>
          <w:b/>
          <w:sz w:val="28"/>
          <w:szCs w:val="28"/>
          <w:lang w:val="en-US"/>
        </w:rPr>
        <w:t>TONNY WAHYU AJI</w:t>
      </w:r>
    </w:p>
    <w:p w14:paraId="19000A55">
      <w:pPr>
        <w:spacing w:after="0" w:line="276" w:lineRule="auto"/>
        <w:jc w:val="center"/>
        <w:rPr>
          <w:rFonts w:eastAsia="Times New Roman" w:cs="Times New Roman"/>
          <w:b/>
          <w:sz w:val="28"/>
          <w:szCs w:val="28"/>
          <w:lang w:val="en-US"/>
        </w:rPr>
      </w:pPr>
      <w:r>
        <w:rPr>
          <w:rFonts w:eastAsia="Times New Roman" w:cs="Times New Roman"/>
          <w:b/>
          <w:sz w:val="28"/>
          <w:szCs w:val="28"/>
        </w:rPr>
        <w:t>41.2</w:t>
      </w:r>
      <w:r>
        <w:rPr>
          <w:rFonts w:eastAsia="Times New Roman" w:cs="Times New Roman"/>
          <w:b/>
          <w:sz w:val="28"/>
          <w:szCs w:val="28"/>
          <w:lang w:val="en-US"/>
        </w:rPr>
        <w:t>2</w:t>
      </w:r>
      <w:r>
        <w:rPr>
          <w:rFonts w:eastAsia="Times New Roman" w:cs="Times New Roman"/>
          <w:b/>
          <w:sz w:val="28"/>
          <w:szCs w:val="28"/>
        </w:rPr>
        <w:t>.00</w:t>
      </w:r>
      <w:r>
        <w:rPr>
          <w:rFonts w:eastAsia="Times New Roman" w:cs="Times New Roman"/>
          <w:b/>
          <w:sz w:val="28"/>
          <w:szCs w:val="28"/>
          <w:lang w:val="en-US"/>
        </w:rPr>
        <w:t>33</w:t>
      </w:r>
    </w:p>
    <w:p w14:paraId="31990D09">
      <w:pPr>
        <w:spacing w:after="0" w:line="276" w:lineRule="auto"/>
        <w:jc w:val="center"/>
        <w:rPr>
          <w:rFonts w:eastAsia="Times New Roman" w:cs="Times New Roman"/>
          <w:b/>
          <w:sz w:val="28"/>
          <w:szCs w:val="28"/>
        </w:rPr>
      </w:pPr>
    </w:p>
    <w:p w14:paraId="5795E7E9">
      <w:pPr>
        <w:spacing w:after="0" w:line="276" w:lineRule="auto"/>
        <w:jc w:val="center"/>
        <w:rPr>
          <w:rFonts w:eastAsia="Times New Roman" w:cs="Times New Roman"/>
          <w:b/>
          <w:sz w:val="28"/>
          <w:szCs w:val="28"/>
          <w:lang w:val="en-US"/>
        </w:rPr>
        <w:sectPr>
          <w:footerReference r:id="rId5" w:type="default"/>
          <w:pgSz w:w="11906" w:h="16838"/>
          <w:pgMar w:top="1701" w:right="1701" w:bottom="1701" w:left="2268" w:header="709" w:footer="709" w:gutter="0"/>
          <w:pgNumType w:fmt="lowerRoman" w:start="1"/>
          <w:cols w:space="708" w:num="1"/>
          <w:docGrid w:linePitch="360" w:charSpace="0"/>
        </w:sectPr>
      </w:pPr>
      <w:r>
        <w:rPr>
          <w:rFonts w:eastAsia="Times New Roman" w:cs="Times New Roman"/>
          <w:b/>
          <w:sz w:val="28"/>
          <w:szCs w:val="28"/>
        </w:rPr>
        <w:t xml:space="preserve">PROGRAM </w:t>
      </w:r>
      <w:r>
        <w:rPr>
          <w:rFonts w:eastAsia="Times New Roman" w:cs="Times New Roman"/>
          <w:b/>
          <w:sz w:val="28"/>
          <w:szCs w:val="28"/>
          <w:lang w:val="en-US"/>
        </w:rPr>
        <w:t>SARJANA TERAPAN</w:t>
      </w:r>
      <w:r>
        <w:rPr>
          <w:rFonts w:eastAsia="Times New Roman" w:cs="Times New Roman"/>
          <w:b/>
          <w:sz w:val="28"/>
          <w:szCs w:val="28"/>
        </w:rPr>
        <w:t xml:space="preserve"> INSTRUMENTASI-MKG</w:t>
      </w:r>
      <w:r>
        <w:rPr>
          <w:rFonts w:eastAsia="Times New Roman" w:cs="Times New Roman"/>
          <w:b/>
          <w:sz w:val="28"/>
          <w:szCs w:val="28"/>
        </w:rPr>
        <w:br w:type="textWrapping"/>
      </w:r>
      <w:r>
        <w:rPr>
          <w:rFonts w:eastAsia="Times New Roman" w:cs="Times New Roman"/>
          <w:b/>
          <w:sz w:val="28"/>
          <w:szCs w:val="28"/>
        </w:rPr>
        <w:t>SEKOLAH TINGGI METEOROLOGI KLIMATOLOGI DAN</w:t>
      </w:r>
      <w:r>
        <w:rPr>
          <w:rFonts w:eastAsia="Times New Roman" w:cs="Times New Roman"/>
          <w:b/>
          <w:sz w:val="28"/>
          <w:szCs w:val="28"/>
        </w:rPr>
        <w:br w:type="textWrapping"/>
      </w:r>
      <w:r>
        <w:rPr>
          <w:rFonts w:eastAsia="Times New Roman" w:cs="Times New Roman"/>
          <w:b/>
          <w:sz w:val="28"/>
          <w:szCs w:val="28"/>
        </w:rPr>
        <w:t>GEOFISIKA</w:t>
      </w:r>
      <w:r>
        <w:rPr>
          <w:rFonts w:eastAsia="Times New Roman" w:cs="Times New Roman"/>
          <w:b/>
          <w:sz w:val="28"/>
          <w:szCs w:val="28"/>
        </w:rPr>
        <w:br w:type="textWrapping"/>
      </w:r>
      <w:r>
        <w:rPr>
          <w:rFonts w:eastAsia="Times New Roman" w:cs="Times New Roman"/>
          <w:b/>
          <w:sz w:val="28"/>
          <w:szCs w:val="28"/>
        </w:rPr>
        <w:t>TANGERANG</w:t>
      </w:r>
      <w:r>
        <w:rPr>
          <w:rFonts w:eastAsia="Times New Roman" w:cs="Times New Roman"/>
          <w:b/>
          <w:sz w:val="28"/>
          <w:szCs w:val="28"/>
        </w:rPr>
        <w:br w:type="textWrapping"/>
      </w:r>
      <w:r>
        <w:rPr>
          <w:rFonts w:eastAsia="Times New Roman" w:cs="Times New Roman"/>
          <w:b/>
          <w:sz w:val="28"/>
          <w:szCs w:val="28"/>
        </w:rPr>
        <w:br w:type="textWrapping"/>
      </w:r>
      <w:r>
        <w:rPr>
          <w:rFonts w:eastAsia="Times New Roman" w:cs="Times New Roman"/>
          <w:b/>
          <w:sz w:val="28"/>
          <w:szCs w:val="28"/>
        </w:rPr>
        <w:t>202</w:t>
      </w:r>
      <w:r>
        <w:rPr>
          <w:rFonts w:eastAsia="Times New Roman" w:cs="Times New Roman"/>
          <w:b/>
          <w:sz w:val="28"/>
          <w:szCs w:val="28"/>
          <w:lang w:val="en-US"/>
        </w:rPr>
        <w:t>6</w:t>
      </w:r>
    </w:p>
    <w:p w14:paraId="2CEEC716">
      <w:pPr>
        <w:widowControl w:val="0"/>
        <w:spacing w:after="0"/>
        <w:ind w:left="480" w:hanging="480"/>
        <w:jc w:val="center"/>
        <w:outlineLvl w:val="0"/>
        <w:rPr>
          <w:rFonts w:eastAsia="Arial" w:cs="Times New Roman"/>
          <w:bCs/>
          <w:sz w:val="28"/>
          <w:szCs w:val="28"/>
          <w:lang w:val="en-US"/>
        </w:rPr>
      </w:pPr>
      <w:bookmarkStart w:id="1" w:name="_Toc217318291"/>
      <w:bookmarkStart w:id="2" w:name="_Toc187689686"/>
      <w:bookmarkStart w:id="3" w:name="_Toc234651744"/>
      <w:bookmarkStart w:id="4" w:name="_Toc236076706"/>
      <w:r>
        <w:drawing>
          <wp:anchor distT="0" distB="0" distL="114300" distR="114300" simplePos="0" relativeHeight="251659264" behindDoc="0" locked="0" layoutInCell="1" allowOverlap="1">
            <wp:simplePos x="0" y="0"/>
            <wp:positionH relativeFrom="column">
              <wp:posOffset>-1386205</wp:posOffset>
            </wp:positionH>
            <wp:positionV relativeFrom="paragraph">
              <wp:posOffset>-1011555</wp:posOffset>
            </wp:positionV>
            <wp:extent cx="7478395" cy="10582275"/>
            <wp:effectExtent l="0" t="0" r="1905" b="9525"/>
            <wp:wrapNone/>
            <wp:docPr id="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
                    <pic:cNvPicPr>
                      <a:picLocks noChangeAspect="1"/>
                    </pic:cNvPicPr>
                  </pic:nvPicPr>
                  <pic:blipFill>
                    <a:blip r:embed="rId16"/>
                    <a:stretch>
                      <a:fillRect/>
                    </a:stretch>
                  </pic:blipFill>
                  <pic:spPr>
                    <a:xfrm>
                      <a:off x="0" y="0"/>
                      <a:ext cx="7478395" cy="10582275"/>
                    </a:xfrm>
                    <a:prstGeom prst="rect">
                      <a:avLst/>
                    </a:prstGeom>
                    <a:noFill/>
                    <a:ln>
                      <a:noFill/>
                    </a:ln>
                  </pic:spPr>
                </pic:pic>
              </a:graphicData>
            </a:graphic>
          </wp:anchor>
        </w:drawing>
      </w:r>
      <w:r>
        <w:rPr>
          <w:rFonts w:eastAsia="Arial" w:cs="Times New Roman"/>
          <w:b/>
          <w:bCs/>
          <w:sz w:val="28"/>
          <w:szCs w:val="28"/>
          <w:lang w:val="en-US"/>
        </w:rPr>
        <w:t xml:space="preserve">HALAMAN </w:t>
      </w:r>
      <w:bookmarkEnd w:id="1"/>
      <w:bookmarkEnd w:id="2"/>
      <w:r>
        <w:rPr>
          <w:rFonts w:eastAsia="Arial" w:cs="Times New Roman"/>
          <w:b/>
          <w:bCs/>
          <w:sz w:val="28"/>
          <w:szCs w:val="28"/>
          <w:lang w:val="en-US"/>
        </w:rPr>
        <w:t>PENGESAHAN</w:t>
      </w:r>
      <w:bookmarkEnd w:id="3"/>
      <w:bookmarkEnd w:id="4"/>
    </w:p>
    <w:p w14:paraId="5F5870FB">
      <w:pPr>
        <w:spacing w:after="0"/>
        <w:jc w:val="center"/>
        <w:rPr>
          <w:rFonts w:cs="Times New Roman"/>
          <w:b/>
          <w:bCs/>
          <w:lang w:val="en-US"/>
        </w:rPr>
      </w:pPr>
      <w:r>
        <w:rPr>
          <w:rFonts w:cs="Times New Roman"/>
          <w:b/>
          <w:bCs/>
          <w:lang w:val="en-US"/>
        </w:rPr>
        <w:t>SKRIPSI</w:t>
      </w:r>
    </w:p>
    <w:p w14:paraId="5EF32CCA">
      <w:pPr>
        <w:spacing w:after="200" w:line="276" w:lineRule="auto"/>
        <w:jc w:val="center"/>
        <w:rPr>
          <w:rFonts w:eastAsia="Arial" w:cs="Times New Roman"/>
          <w:b/>
          <w:i/>
          <w:lang w:val="en-US"/>
        </w:rPr>
      </w:pPr>
      <w:r>
        <w:rPr>
          <w:rFonts w:eastAsia="Arial" w:cs="Times New Roman"/>
          <w:b/>
          <w:lang w:val="en-US"/>
        </w:rPr>
        <w:t xml:space="preserve">PENGEMBANGAN ALGORITMA METAHEURISTIK IFPOA-X UNTUK OPTIMASI MULTIOBJEKTIF </w:t>
      </w:r>
      <w:r>
        <w:rPr>
          <w:rFonts w:eastAsia="Arial" w:cs="Times New Roman"/>
          <w:b/>
          <w:i/>
          <w:iCs/>
          <w:lang w:val="en-US"/>
        </w:rPr>
        <w:t xml:space="preserve">TRANSFORMER </w:t>
      </w:r>
      <w:r>
        <w:rPr>
          <w:rFonts w:eastAsia="Arial" w:cs="Times New Roman"/>
          <w:b/>
          <w:lang w:val="en-US"/>
        </w:rPr>
        <w:t xml:space="preserve">DALAM PERAMALAN CURAH HUJAN DASARIAN: STUDI </w:t>
      </w:r>
      <w:r>
        <w:rPr>
          <w:rFonts w:eastAsia="Arial" w:cs="Times New Roman"/>
          <w:b/>
          <w:i/>
          <w:iCs/>
          <w:lang w:val="en-US"/>
        </w:rPr>
        <w:t xml:space="preserve">ROBUSTNESS </w:t>
      </w:r>
      <w:r>
        <w:rPr>
          <w:rFonts w:eastAsia="Arial" w:cs="Times New Roman"/>
          <w:b/>
          <w:lang w:val="en-US"/>
        </w:rPr>
        <w:t>ANTAR-WILAYAH REPRESENTATIF DI INDONESIA</w:t>
      </w:r>
    </w:p>
    <w:p w14:paraId="320A38E5">
      <w:pPr>
        <w:spacing w:after="200"/>
        <w:jc w:val="center"/>
        <w:rPr>
          <w:rFonts w:cs="Times New Roman"/>
          <w:lang w:val="en-US"/>
        </w:rPr>
      </w:pPr>
      <w:r>
        <w:rPr>
          <w:rFonts w:cs="Times New Roman"/>
          <w:lang w:val="en-US"/>
        </w:rPr>
        <w:t>Telah dipersiapkan dan disusun oleh:</w:t>
      </w:r>
    </w:p>
    <w:p w14:paraId="4D35782A">
      <w:pPr>
        <w:spacing w:after="0"/>
        <w:jc w:val="center"/>
        <w:rPr>
          <w:rFonts w:cs="Times New Roman"/>
          <w:b/>
          <w:bCs/>
          <w:lang w:val="en-US"/>
        </w:rPr>
      </w:pPr>
      <w:r>
        <w:rPr>
          <w:rFonts w:cs="Times New Roman"/>
          <w:b/>
          <w:bCs/>
          <w:lang w:val="en-US"/>
        </w:rPr>
        <w:t>TONNY WAHYU AJI</w:t>
      </w:r>
    </w:p>
    <w:p w14:paraId="174FCE55">
      <w:pPr>
        <w:spacing w:after="200"/>
        <w:jc w:val="center"/>
        <w:rPr>
          <w:rFonts w:cs="Times New Roman"/>
          <w:b/>
          <w:bCs/>
          <w:lang w:val="en-US"/>
        </w:rPr>
      </w:pPr>
      <w:r>
        <w:rPr>
          <w:rFonts w:cs="Times New Roman"/>
          <w:b/>
          <w:bCs/>
          <w:lang w:val="en-US"/>
        </w:rPr>
        <w:t>41.22.0033</w:t>
      </w:r>
    </w:p>
    <w:p w14:paraId="6BAB5C02">
      <w:pPr>
        <w:spacing w:after="200"/>
        <w:jc w:val="center"/>
        <w:rPr>
          <w:rFonts w:cs="Times New Roman"/>
          <w:lang w:val="en-US"/>
        </w:rPr>
      </w:pPr>
      <w:r>
        <w:rPr>
          <w:rFonts w:cs="Times New Roman"/>
          <w:lang w:val="en-US"/>
        </w:rPr>
        <w:t xml:space="preserve">Telah dipertahankan di depan Tim Penguji dan disetujui </w:t>
      </w:r>
      <w:r>
        <w:rPr>
          <w:rFonts w:cs="Times New Roman"/>
          <w:lang w:val="en-US"/>
        </w:rPr>
        <w:br w:type="textWrapping"/>
      </w:r>
      <w:r>
        <w:rPr>
          <w:rFonts w:cs="Times New Roman"/>
          <w:lang w:val="en-US"/>
        </w:rPr>
        <w:t>pada tanggal 05 Agustus 2026</w:t>
      </w:r>
    </w:p>
    <w:p w14:paraId="27F59D5B">
      <w:pPr>
        <w:spacing w:after="200"/>
        <w:jc w:val="center"/>
        <w:rPr>
          <w:rFonts w:cs="Times New Roman"/>
          <w:b/>
          <w:bCs/>
          <w:u w:val="single"/>
          <w:lang w:val="en-US"/>
        </w:rPr>
      </w:pPr>
      <w:r>
        <w:rPr>
          <w:rFonts w:cs="Times New Roman"/>
          <w:b/>
          <w:bCs/>
          <w:u w:val="single"/>
          <w:lang w:val="en-US"/>
        </w:rPr>
        <w:t>Susunan Tim Penguji</w:t>
      </w:r>
    </w:p>
    <w:tbl>
      <w:tblPr>
        <w:tblStyle w:val="71"/>
        <w:tblW w:w="9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41"/>
        <w:gridCol w:w="5235"/>
      </w:tblGrid>
      <w:tr w14:paraId="5B30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14A283CD">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Pembimbing Utama</w:t>
            </w:r>
          </w:p>
        </w:tc>
        <w:tc>
          <w:tcPr>
            <w:tcW w:w="5235" w:type="dxa"/>
          </w:tcPr>
          <w:p w14:paraId="39A71DD9">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Ketua Tim Penguji</w:t>
            </w:r>
          </w:p>
        </w:tc>
      </w:tr>
      <w:tr w14:paraId="4F4B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7E2EC369">
            <w:pPr>
              <w:spacing w:after="0" w:line="276" w:lineRule="auto"/>
              <w:jc w:val="center"/>
              <w:rPr>
                <w:rFonts w:ascii="Times New Roman" w:hAnsi="Times New Roman" w:cs="Times New Roman"/>
                <w:sz w:val="22"/>
                <w:u w:val="single"/>
                <w:lang w:val="en-US"/>
              </w:rPr>
            </w:pPr>
          </w:p>
        </w:tc>
        <w:tc>
          <w:tcPr>
            <w:tcW w:w="5235" w:type="dxa"/>
          </w:tcPr>
          <w:p w14:paraId="630B9B23">
            <w:pPr>
              <w:spacing w:after="0" w:line="276" w:lineRule="auto"/>
              <w:rPr>
                <w:rFonts w:ascii="Times New Roman" w:hAnsi="Times New Roman" w:cs="Times New Roman"/>
                <w:sz w:val="22"/>
                <w:u w:val="single"/>
                <w:lang w:val="en-US"/>
              </w:rPr>
            </w:pPr>
          </w:p>
        </w:tc>
      </w:tr>
      <w:tr w14:paraId="49543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4541" w:type="dxa"/>
          </w:tcPr>
          <w:p w14:paraId="1EB8D741">
            <w:pPr>
              <w:spacing w:after="0" w:line="276" w:lineRule="auto"/>
              <w:rPr>
                <w:rFonts w:ascii="Times New Roman" w:hAnsi="Times New Roman" w:cs="Times New Roman"/>
                <w:sz w:val="22"/>
                <w:u w:val="single"/>
                <w:lang w:val="en-US"/>
              </w:rPr>
            </w:pPr>
          </w:p>
        </w:tc>
        <w:tc>
          <w:tcPr>
            <w:tcW w:w="5235" w:type="dxa"/>
          </w:tcPr>
          <w:p w14:paraId="3426A351">
            <w:pPr>
              <w:spacing w:after="0" w:line="276" w:lineRule="auto"/>
              <w:jc w:val="center"/>
              <w:rPr>
                <w:rFonts w:ascii="Times New Roman" w:hAnsi="Times New Roman" w:cs="Times New Roman"/>
                <w:sz w:val="22"/>
                <w:u w:val="single"/>
                <w:lang w:val="en-US"/>
              </w:rPr>
            </w:pPr>
          </w:p>
        </w:tc>
      </w:tr>
      <w:tr w14:paraId="734E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4541" w:type="dxa"/>
          </w:tcPr>
          <w:p w14:paraId="3EF2C00A">
            <w:pPr>
              <w:spacing w:after="0" w:line="276" w:lineRule="auto"/>
              <w:rPr>
                <w:rFonts w:ascii="Times New Roman" w:hAnsi="Times New Roman" w:cs="Times New Roman"/>
                <w:sz w:val="22"/>
                <w:u w:val="single"/>
                <w:lang w:val="en-US"/>
              </w:rPr>
            </w:pPr>
          </w:p>
        </w:tc>
        <w:tc>
          <w:tcPr>
            <w:tcW w:w="5235" w:type="dxa"/>
          </w:tcPr>
          <w:p w14:paraId="01BE0EE9">
            <w:pPr>
              <w:spacing w:after="0" w:line="276" w:lineRule="auto"/>
              <w:jc w:val="center"/>
              <w:rPr>
                <w:rFonts w:ascii="Times New Roman" w:hAnsi="Times New Roman" w:cs="Times New Roman"/>
                <w:sz w:val="22"/>
                <w:u w:val="single"/>
                <w:lang w:val="en-US"/>
              </w:rPr>
            </w:pPr>
          </w:p>
        </w:tc>
      </w:tr>
      <w:tr w14:paraId="29458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4541" w:type="dxa"/>
          </w:tcPr>
          <w:p w14:paraId="2E638F4C">
            <w:pPr>
              <w:spacing w:after="0" w:line="276" w:lineRule="auto"/>
              <w:rPr>
                <w:rFonts w:ascii="Times New Roman" w:hAnsi="Times New Roman" w:cs="Times New Roman"/>
                <w:sz w:val="22"/>
                <w:u w:val="single"/>
                <w:lang w:val="en-US"/>
              </w:rPr>
            </w:pPr>
          </w:p>
        </w:tc>
        <w:tc>
          <w:tcPr>
            <w:tcW w:w="5235" w:type="dxa"/>
          </w:tcPr>
          <w:p w14:paraId="3C7D2D74">
            <w:pPr>
              <w:spacing w:after="0" w:line="276" w:lineRule="auto"/>
              <w:jc w:val="center"/>
              <w:rPr>
                <w:rFonts w:ascii="Times New Roman" w:hAnsi="Times New Roman" w:cs="Times New Roman"/>
                <w:sz w:val="22"/>
                <w:u w:val="single"/>
                <w:lang w:val="en-US"/>
              </w:rPr>
            </w:pPr>
          </w:p>
        </w:tc>
      </w:tr>
      <w:tr w14:paraId="67C57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6AB0F28A">
            <w:pPr>
              <w:spacing w:after="0" w:line="276" w:lineRule="auto"/>
              <w:jc w:val="center"/>
              <w:rPr>
                <w:rFonts w:ascii="Times New Roman" w:hAnsi="Times New Roman" w:cs="Times New Roman"/>
                <w:sz w:val="22"/>
                <w:u w:val="single"/>
                <w:lang w:val="en-US"/>
              </w:rPr>
            </w:pPr>
            <w:r>
              <w:rPr>
                <w:rFonts w:ascii="Times New Roman" w:hAnsi="Times New Roman" w:cs="Times New Roman"/>
                <w:sz w:val="22"/>
                <w:u w:val="single"/>
                <w:lang w:val="en-US"/>
              </w:rPr>
              <w:t>Dr. Ir. Marzuki Sinambela, S.Kom, MT</w:t>
            </w:r>
          </w:p>
        </w:tc>
        <w:tc>
          <w:tcPr>
            <w:tcW w:w="5235" w:type="dxa"/>
          </w:tcPr>
          <w:p w14:paraId="21557DBD">
            <w:pPr>
              <w:spacing w:after="0" w:line="276" w:lineRule="auto"/>
              <w:jc w:val="center"/>
              <w:rPr>
                <w:rFonts w:ascii="Times New Roman" w:hAnsi="Times New Roman" w:cs="Times New Roman"/>
                <w:sz w:val="22"/>
                <w:u w:val="single"/>
                <w:lang w:val="en-US"/>
              </w:rPr>
            </w:pPr>
            <w:r>
              <w:rPr>
                <w:rFonts w:ascii="Times New Roman" w:hAnsi="Times New Roman" w:cs="Times New Roman"/>
                <w:sz w:val="22"/>
                <w:u w:val="single"/>
                <w:lang w:val="en-US"/>
              </w:rPr>
              <w:t>Ir. Edward Trihadi, MSEM</w:t>
            </w:r>
          </w:p>
        </w:tc>
      </w:tr>
      <w:tr w14:paraId="5C35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1E05CF37">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NIP. 19831207 200604 1 003</w:t>
            </w:r>
          </w:p>
        </w:tc>
        <w:tc>
          <w:tcPr>
            <w:tcW w:w="5235" w:type="dxa"/>
          </w:tcPr>
          <w:p w14:paraId="5FEB2D4C">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NIP. 19620902 198803 1 002</w:t>
            </w:r>
          </w:p>
        </w:tc>
      </w:tr>
      <w:tr w14:paraId="5A3B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101E5CD7">
            <w:pPr>
              <w:spacing w:after="0" w:line="276" w:lineRule="auto"/>
              <w:jc w:val="center"/>
              <w:rPr>
                <w:rFonts w:ascii="Times New Roman" w:hAnsi="Times New Roman" w:cs="Times New Roman"/>
                <w:sz w:val="22"/>
                <w:lang w:val="en-US"/>
              </w:rPr>
            </w:pPr>
          </w:p>
        </w:tc>
        <w:tc>
          <w:tcPr>
            <w:tcW w:w="5235" w:type="dxa"/>
          </w:tcPr>
          <w:p w14:paraId="77DC51CF">
            <w:pPr>
              <w:spacing w:after="0" w:line="276" w:lineRule="auto"/>
              <w:jc w:val="center"/>
              <w:rPr>
                <w:rFonts w:ascii="Times New Roman" w:hAnsi="Times New Roman" w:cs="Times New Roman"/>
                <w:sz w:val="22"/>
                <w:lang w:val="en-US"/>
              </w:rPr>
            </w:pPr>
          </w:p>
        </w:tc>
      </w:tr>
      <w:tr w14:paraId="477A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347B785B">
            <w:pPr>
              <w:spacing w:after="0" w:line="276" w:lineRule="auto"/>
              <w:jc w:val="center"/>
              <w:rPr>
                <w:rFonts w:ascii="Times New Roman" w:hAnsi="Times New Roman" w:cs="Times New Roman"/>
                <w:sz w:val="22"/>
                <w:u w:val="single"/>
                <w:lang w:val="en-US"/>
              </w:rPr>
            </w:pPr>
          </w:p>
        </w:tc>
        <w:tc>
          <w:tcPr>
            <w:tcW w:w="5235" w:type="dxa"/>
          </w:tcPr>
          <w:p w14:paraId="7FC519C4">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Anggota Tim Penguji</w:t>
            </w:r>
          </w:p>
        </w:tc>
      </w:tr>
      <w:tr w14:paraId="7880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3D7AA66E">
            <w:pPr>
              <w:spacing w:after="0" w:line="276" w:lineRule="auto"/>
              <w:jc w:val="center"/>
              <w:rPr>
                <w:rFonts w:ascii="Times New Roman" w:hAnsi="Times New Roman" w:cs="Times New Roman"/>
                <w:sz w:val="22"/>
                <w:u w:val="single"/>
                <w:lang w:val="en-US"/>
              </w:rPr>
            </w:pPr>
          </w:p>
        </w:tc>
        <w:tc>
          <w:tcPr>
            <w:tcW w:w="5235" w:type="dxa"/>
          </w:tcPr>
          <w:p w14:paraId="254F9125">
            <w:pPr>
              <w:spacing w:after="0" w:line="276" w:lineRule="auto"/>
              <w:jc w:val="center"/>
              <w:rPr>
                <w:rFonts w:ascii="Times New Roman" w:hAnsi="Times New Roman" w:cs="Times New Roman"/>
                <w:sz w:val="22"/>
                <w:u w:val="single"/>
                <w:lang w:val="en-US"/>
              </w:rPr>
            </w:pPr>
          </w:p>
        </w:tc>
      </w:tr>
      <w:tr w14:paraId="46EF0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61C0830E">
            <w:pPr>
              <w:spacing w:after="0" w:line="276" w:lineRule="auto"/>
              <w:jc w:val="center"/>
              <w:rPr>
                <w:rFonts w:ascii="Times New Roman" w:hAnsi="Times New Roman" w:cs="Times New Roman"/>
                <w:sz w:val="22"/>
                <w:u w:val="single"/>
                <w:lang w:val="en-US"/>
              </w:rPr>
            </w:pPr>
          </w:p>
        </w:tc>
        <w:tc>
          <w:tcPr>
            <w:tcW w:w="5235" w:type="dxa"/>
          </w:tcPr>
          <w:p w14:paraId="3170941E">
            <w:pPr>
              <w:spacing w:after="0" w:line="276" w:lineRule="auto"/>
              <w:jc w:val="center"/>
              <w:rPr>
                <w:rFonts w:ascii="Times New Roman" w:hAnsi="Times New Roman" w:cs="Times New Roman"/>
                <w:sz w:val="22"/>
                <w:u w:val="single"/>
                <w:lang w:val="en-US"/>
              </w:rPr>
            </w:pPr>
          </w:p>
        </w:tc>
      </w:tr>
      <w:tr w14:paraId="3645A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5B401216">
            <w:pPr>
              <w:spacing w:after="0" w:line="276" w:lineRule="auto"/>
              <w:jc w:val="center"/>
              <w:rPr>
                <w:rFonts w:ascii="Times New Roman" w:hAnsi="Times New Roman" w:cs="Times New Roman"/>
                <w:sz w:val="22"/>
                <w:u w:val="single"/>
                <w:lang w:val="en-US"/>
              </w:rPr>
            </w:pPr>
          </w:p>
        </w:tc>
        <w:tc>
          <w:tcPr>
            <w:tcW w:w="5235" w:type="dxa"/>
          </w:tcPr>
          <w:p w14:paraId="4402B0CE">
            <w:pPr>
              <w:spacing w:after="0" w:line="276" w:lineRule="auto"/>
              <w:jc w:val="center"/>
              <w:rPr>
                <w:rFonts w:ascii="Times New Roman" w:hAnsi="Times New Roman" w:cs="Times New Roman"/>
                <w:sz w:val="22"/>
                <w:u w:val="single"/>
                <w:lang w:val="en-US"/>
              </w:rPr>
            </w:pPr>
          </w:p>
        </w:tc>
      </w:tr>
      <w:tr w14:paraId="6E8F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2A3F3CB1">
            <w:pPr>
              <w:spacing w:after="0" w:line="276" w:lineRule="auto"/>
              <w:jc w:val="center"/>
              <w:rPr>
                <w:rFonts w:ascii="Times New Roman" w:hAnsi="Times New Roman" w:cs="Times New Roman"/>
                <w:sz w:val="22"/>
                <w:u w:val="single"/>
                <w:lang w:val="en-US"/>
              </w:rPr>
            </w:pPr>
          </w:p>
        </w:tc>
        <w:tc>
          <w:tcPr>
            <w:tcW w:w="5235" w:type="dxa"/>
          </w:tcPr>
          <w:p w14:paraId="57082565">
            <w:pPr>
              <w:spacing w:after="0" w:line="276" w:lineRule="auto"/>
              <w:jc w:val="center"/>
              <w:rPr>
                <w:rFonts w:ascii="Times New Roman" w:hAnsi="Times New Roman" w:cs="Times New Roman"/>
                <w:sz w:val="22"/>
                <w:u w:val="single"/>
                <w:lang w:val="en-US"/>
              </w:rPr>
            </w:pPr>
          </w:p>
        </w:tc>
      </w:tr>
      <w:tr w14:paraId="19B9F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11F08EFC">
            <w:pPr>
              <w:spacing w:after="0" w:line="276" w:lineRule="auto"/>
              <w:jc w:val="center"/>
              <w:rPr>
                <w:rFonts w:ascii="Times New Roman" w:hAnsi="Times New Roman" w:cs="Times New Roman"/>
                <w:sz w:val="22"/>
                <w:u w:val="single"/>
                <w:lang w:val="en-US"/>
              </w:rPr>
            </w:pPr>
          </w:p>
        </w:tc>
        <w:tc>
          <w:tcPr>
            <w:tcW w:w="5235" w:type="dxa"/>
          </w:tcPr>
          <w:p w14:paraId="54AA0621">
            <w:pPr>
              <w:spacing w:after="0" w:line="276" w:lineRule="auto"/>
              <w:jc w:val="center"/>
              <w:rPr>
                <w:rFonts w:ascii="Times New Roman" w:hAnsi="Times New Roman" w:cs="Times New Roman"/>
                <w:sz w:val="22"/>
                <w:u w:val="single"/>
                <w:lang w:val="en-US"/>
              </w:rPr>
            </w:pPr>
            <w:r>
              <w:rPr>
                <w:rFonts w:ascii="Times New Roman" w:hAnsi="Times New Roman" w:cs="Times New Roman"/>
                <w:sz w:val="22"/>
                <w:u w:val="single"/>
                <w:lang w:val="en-US"/>
              </w:rPr>
              <w:t>Dr. Hapsoro Agung Nugroho, S.T., M.T., IPM</w:t>
            </w:r>
          </w:p>
        </w:tc>
      </w:tr>
      <w:tr w14:paraId="7C58F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0F2226A6">
            <w:pPr>
              <w:spacing w:after="0" w:line="276" w:lineRule="auto"/>
              <w:jc w:val="center"/>
              <w:rPr>
                <w:rFonts w:ascii="Times New Roman" w:hAnsi="Times New Roman" w:cs="Times New Roman"/>
                <w:sz w:val="22"/>
                <w:u w:val="single"/>
                <w:lang w:val="en-US"/>
              </w:rPr>
            </w:pPr>
          </w:p>
        </w:tc>
        <w:tc>
          <w:tcPr>
            <w:tcW w:w="5235" w:type="dxa"/>
          </w:tcPr>
          <w:p w14:paraId="2C315A10">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NIP. 19820722 200312 1 003</w:t>
            </w:r>
          </w:p>
        </w:tc>
      </w:tr>
      <w:tr w14:paraId="454BB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7BAE602A">
            <w:pPr>
              <w:spacing w:after="0" w:line="276" w:lineRule="auto"/>
              <w:jc w:val="center"/>
              <w:rPr>
                <w:rFonts w:ascii="Times New Roman" w:hAnsi="Times New Roman" w:cs="Times New Roman"/>
                <w:sz w:val="22"/>
                <w:u w:val="single"/>
                <w:lang w:val="en-US"/>
              </w:rPr>
            </w:pPr>
          </w:p>
        </w:tc>
        <w:tc>
          <w:tcPr>
            <w:tcW w:w="5235" w:type="dxa"/>
          </w:tcPr>
          <w:p w14:paraId="6BAC1FC5">
            <w:pPr>
              <w:spacing w:after="0" w:line="276" w:lineRule="auto"/>
              <w:jc w:val="center"/>
              <w:rPr>
                <w:rFonts w:ascii="Times New Roman" w:hAnsi="Times New Roman" w:cs="Times New Roman"/>
                <w:sz w:val="22"/>
                <w:lang w:val="en-US"/>
              </w:rPr>
            </w:pPr>
          </w:p>
        </w:tc>
      </w:tr>
      <w:tr w14:paraId="6EAF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043D2387">
            <w:pPr>
              <w:spacing w:after="0" w:line="276" w:lineRule="auto"/>
              <w:jc w:val="center"/>
              <w:rPr>
                <w:rFonts w:ascii="Times New Roman" w:hAnsi="Times New Roman" w:cs="Times New Roman"/>
                <w:sz w:val="22"/>
                <w:u w:val="single"/>
                <w:lang w:val="en-US"/>
              </w:rPr>
            </w:pPr>
          </w:p>
        </w:tc>
        <w:tc>
          <w:tcPr>
            <w:tcW w:w="5235" w:type="dxa"/>
          </w:tcPr>
          <w:p w14:paraId="3888AF09">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Tangerang,     Agustus 2026</w:t>
            </w:r>
          </w:p>
        </w:tc>
      </w:tr>
      <w:tr w14:paraId="4111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677B3B69">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Ketua Program Sarjana Terapan</w:t>
            </w:r>
          </w:p>
          <w:p w14:paraId="7DA328F2">
            <w:pPr>
              <w:spacing w:after="0" w:line="276" w:lineRule="auto"/>
              <w:jc w:val="center"/>
              <w:rPr>
                <w:rFonts w:ascii="Times New Roman" w:hAnsi="Times New Roman" w:cs="Times New Roman"/>
                <w:sz w:val="22"/>
                <w:u w:val="single"/>
                <w:lang w:val="en-US"/>
              </w:rPr>
            </w:pPr>
            <w:r>
              <w:rPr>
                <w:rFonts w:ascii="Times New Roman" w:hAnsi="Times New Roman" w:cs="Times New Roman"/>
                <w:sz w:val="22"/>
                <w:lang w:val="en-US"/>
              </w:rPr>
              <w:t>Instrumentasi-MKG</w:t>
            </w:r>
          </w:p>
        </w:tc>
        <w:tc>
          <w:tcPr>
            <w:tcW w:w="5235" w:type="dxa"/>
          </w:tcPr>
          <w:p w14:paraId="7766CB24">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Ketua Sekolah Tinggi Meteorologi</w:t>
            </w:r>
          </w:p>
          <w:p w14:paraId="3D8C0E67">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Klimatologi dan Geofisika</w:t>
            </w:r>
          </w:p>
        </w:tc>
      </w:tr>
      <w:tr w14:paraId="232D8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51104934">
            <w:pPr>
              <w:spacing w:after="0" w:line="276" w:lineRule="auto"/>
              <w:jc w:val="center"/>
              <w:rPr>
                <w:rFonts w:ascii="Times New Roman" w:hAnsi="Times New Roman" w:cs="Times New Roman"/>
                <w:sz w:val="22"/>
                <w:u w:val="single"/>
                <w:lang w:val="en-US"/>
              </w:rPr>
            </w:pPr>
          </w:p>
        </w:tc>
        <w:tc>
          <w:tcPr>
            <w:tcW w:w="5235" w:type="dxa"/>
          </w:tcPr>
          <w:p w14:paraId="78D51FB0">
            <w:pPr>
              <w:spacing w:after="0" w:line="276" w:lineRule="auto"/>
              <w:jc w:val="center"/>
              <w:rPr>
                <w:rFonts w:ascii="Times New Roman" w:hAnsi="Times New Roman" w:cs="Times New Roman"/>
                <w:sz w:val="22"/>
                <w:lang w:val="en-US"/>
              </w:rPr>
            </w:pPr>
          </w:p>
        </w:tc>
      </w:tr>
      <w:tr w14:paraId="2ED4E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25AAF25A">
            <w:pPr>
              <w:spacing w:after="0" w:line="276" w:lineRule="auto"/>
              <w:jc w:val="center"/>
              <w:rPr>
                <w:rFonts w:ascii="Times New Roman" w:hAnsi="Times New Roman" w:cs="Times New Roman"/>
                <w:sz w:val="22"/>
                <w:u w:val="single"/>
                <w:lang w:val="en-US"/>
              </w:rPr>
            </w:pPr>
          </w:p>
        </w:tc>
        <w:tc>
          <w:tcPr>
            <w:tcW w:w="5235" w:type="dxa"/>
          </w:tcPr>
          <w:p w14:paraId="2A202915">
            <w:pPr>
              <w:spacing w:after="0" w:line="276" w:lineRule="auto"/>
              <w:jc w:val="center"/>
              <w:rPr>
                <w:rFonts w:ascii="Times New Roman" w:hAnsi="Times New Roman" w:cs="Times New Roman"/>
                <w:sz w:val="22"/>
                <w:lang w:val="en-US"/>
              </w:rPr>
            </w:pPr>
          </w:p>
        </w:tc>
      </w:tr>
      <w:tr w14:paraId="1198C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37EBE5AA">
            <w:pPr>
              <w:spacing w:after="0" w:line="276" w:lineRule="auto"/>
              <w:jc w:val="center"/>
              <w:rPr>
                <w:rFonts w:ascii="Times New Roman" w:hAnsi="Times New Roman" w:cs="Times New Roman"/>
                <w:sz w:val="22"/>
                <w:u w:val="single"/>
                <w:lang w:val="en-US"/>
              </w:rPr>
            </w:pPr>
          </w:p>
        </w:tc>
        <w:tc>
          <w:tcPr>
            <w:tcW w:w="5235" w:type="dxa"/>
          </w:tcPr>
          <w:p w14:paraId="6FD676CF">
            <w:pPr>
              <w:spacing w:after="0" w:line="276" w:lineRule="auto"/>
              <w:jc w:val="center"/>
              <w:rPr>
                <w:rFonts w:ascii="Times New Roman" w:hAnsi="Times New Roman" w:cs="Times New Roman"/>
                <w:sz w:val="22"/>
                <w:lang w:val="en-US"/>
              </w:rPr>
            </w:pPr>
          </w:p>
        </w:tc>
      </w:tr>
      <w:tr w14:paraId="0E622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2DB28246">
            <w:pPr>
              <w:spacing w:after="0" w:line="276" w:lineRule="auto"/>
              <w:jc w:val="center"/>
              <w:rPr>
                <w:rFonts w:ascii="Times New Roman" w:hAnsi="Times New Roman" w:cs="Times New Roman"/>
                <w:sz w:val="22"/>
                <w:u w:val="single"/>
                <w:lang w:val="en-US"/>
              </w:rPr>
            </w:pPr>
          </w:p>
        </w:tc>
        <w:tc>
          <w:tcPr>
            <w:tcW w:w="5235" w:type="dxa"/>
          </w:tcPr>
          <w:p w14:paraId="343C7506">
            <w:pPr>
              <w:spacing w:after="0" w:line="276" w:lineRule="auto"/>
              <w:jc w:val="center"/>
              <w:rPr>
                <w:rFonts w:ascii="Times New Roman" w:hAnsi="Times New Roman" w:cs="Times New Roman"/>
                <w:sz w:val="22"/>
                <w:lang w:val="en-US"/>
              </w:rPr>
            </w:pPr>
          </w:p>
        </w:tc>
      </w:tr>
      <w:tr w14:paraId="247C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666B9C45">
            <w:pPr>
              <w:spacing w:after="0" w:line="276" w:lineRule="auto"/>
              <w:jc w:val="center"/>
              <w:rPr>
                <w:rFonts w:ascii="Times New Roman" w:hAnsi="Times New Roman" w:cs="Times New Roman"/>
                <w:sz w:val="22"/>
                <w:u w:val="single"/>
                <w:lang w:val="en-US"/>
              </w:rPr>
            </w:pPr>
            <w:r>
              <w:rPr>
                <w:rFonts w:ascii="Times New Roman" w:hAnsi="Times New Roman" w:cs="Times New Roman"/>
                <w:sz w:val="22"/>
                <w:u w:val="single"/>
                <w:lang w:val="en-US"/>
              </w:rPr>
              <w:t>Ir. Nardi, S.T., M.Kom</w:t>
            </w:r>
          </w:p>
        </w:tc>
        <w:tc>
          <w:tcPr>
            <w:tcW w:w="5235" w:type="dxa"/>
          </w:tcPr>
          <w:p w14:paraId="4956DD81">
            <w:pPr>
              <w:spacing w:after="0" w:line="276" w:lineRule="auto"/>
              <w:jc w:val="center"/>
              <w:rPr>
                <w:rFonts w:ascii="Times New Roman" w:hAnsi="Times New Roman" w:cs="Times New Roman"/>
                <w:sz w:val="22"/>
                <w:lang w:val="en-US"/>
              </w:rPr>
            </w:pPr>
            <w:r>
              <w:rPr>
                <w:rFonts w:ascii="Times New Roman" w:hAnsi="Times New Roman" w:cs="Times New Roman"/>
                <w:sz w:val="22"/>
                <w:u w:val="single"/>
                <w:lang w:val="en-US"/>
              </w:rPr>
              <w:t>Dr. Deni Septiadi, M.Si</w:t>
            </w:r>
          </w:p>
        </w:tc>
      </w:tr>
      <w:tr w14:paraId="7926B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41" w:type="dxa"/>
          </w:tcPr>
          <w:p w14:paraId="576A9627">
            <w:pPr>
              <w:spacing w:after="0" w:line="276" w:lineRule="auto"/>
              <w:jc w:val="center"/>
              <w:rPr>
                <w:rFonts w:ascii="Times New Roman" w:hAnsi="Times New Roman" w:cs="Times New Roman"/>
                <w:sz w:val="22"/>
                <w:u w:val="single"/>
                <w:lang w:val="en-US"/>
              </w:rPr>
            </w:pPr>
            <w:r>
              <w:rPr>
                <w:rFonts w:ascii="Times New Roman" w:hAnsi="Times New Roman" w:cs="Times New Roman"/>
                <w:sz w:val="22"/>
                <w:lang w:val="en-US"/>
              </w:rPr>
              <w:t>NIP. 19710407 199403 1 001</w:t>
            </w:r>
          </w:p>
        </w:tc>
        <w:tc>
          <w:tcPr>
            <w:tcW w:w="5235" w:type="dxa"/>
          </w:tcPr>
          <w:p w14:paraId="2F0F4DC1">
            <w:pPr>
              <w:spacing w:after="0" w:line="276" w:lineRule="auto"/>
              <w:jc w:val="center"/>
              <w:rPr>
                <w:rFonts w:ascii="Times New Roman" w:hAnsi="Times New Roman" w:cs="Times New Roman"/>
                <w:sz w:val="22"/>
                <w:lang w:val="en-US"/>
              </w:rPr>
            </w:pPr>
            <w:r>
              <w:rPr>
                <w:rFonts w:ascii="Times New Roman" w:hAnsi="Times New Roman" w:cs="Times New Roman"/>
                <w:sz w:val="22"/>
                <w:lang w:val="en-US"/>
              </w:rPr>
              <w:t>NIP. 19780930 200012 1 001</w:t>
            </w:r>
          </w:p>
        </w:tc>
      </w:tr>
    </w:tbl>
    <w:p w14:paraId="5DE2EF09"/>
    <w:p w14:paraId="65F91C49">
      <w:pPr>
        <w:pStyle w:val="2"/>
      </w:pPr>
      <w:bookmarkStart w:id="5" w:name="_Toc236076707"/>
      <w:r>
        <w:drawing>
          <wp:anchor distT="0" distB="0" distL="114300" distR="114300" simplePos="0" relativeHeight="251660288" behindDoc="0" locked="0" layoutInCell="1" allowOverlap="1">
            <wp:simplePos x="0" y="0"/>
            <wp:positionH relativeFrom="column">
              <wp:posOffset>-1433830</wp:posOffset>
            </wp:positionH>
            <wp:positionV relativeFrom="paragraph">
              <wp:posOffset>-1077595</wp:posOffset>
            </wp:positionV>
            <wp:extent cx="7552055" cy="10692765"/>
            <wp:effectExtent l="0" t="0" r="4445" b="635"/>
            <wp:wrapNone/>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
                    <pic:cNvPicPr>
                      <a:picLocks noChangeAspect="1"/>
                    </pic:cNvPicPr>
                  </pic:nvPicPr>
                  <pic:blipFill>
                    <a:blip r:embed="rId17"/>
                    <a:stretch>
                      <a:fillRect/>
                    </a:stretch>
                  </pic:blipFill>
                  <pic:spPr>
                    <a:xfrm>
                      <a:off x="0" y="0"/>
                      <a:ext cx="7552055" cy="10692765"/>
                    </a:xfrm>
                    <a:prstGeom prst="rect">
                      <a:avLst/>
                    </a:prstGeom>
                    <a:noFill/>
                    <a:ln>
                      <a:noFill/>
                    </a:ln>
                  </pic:spPr>
                </pic:pic>
              </a:graphicData>
            </a:graphic>
          </wp:anchor>
        </w:drawing>
      </w:r>
      <w:r>
        <w:t>HALAMAN PERNYATAAN ORISINALITAS</w:t>
      </w:r>
      <w:bookmarkEnd w:id="5"/>
    </w:p>
    <w:p w14:paraId="20BF0B91">
      <w:pPr>
        <w:spacing w:after="0" w:line="240" w:lineRule="auto"/>
        <w:ind w:firstLine="720"/>
        <w:rPr>
          <w:lang w:val="en-US"/>
        </w:rPr>
      </w:pPr>
      <w:r>
        <w:rPr>
          <w:lang w:val="en-US"/>
        </w:rPr>
        <w:t>Saya Tonny Wahyu Aji, NPT. 41.22.0033, menyatakan bahwa skripsi dengan judul “</w:t>
      </w:r>
      <w:r>
        <w:rPr>
          <w:rFonts w:eastAsia="Arial" w:cs="Times New Roman"/>
          <w:b/>
          <w:lang w:val="en-US"/>
        </w:rPr>
        <w:t xml:space="preserve">Pengembangan Algoritma Metaheuristik IFPOA-X Untuk Optimasi Multiobjektif </w:t>
      </w:r>
      <w:r>
        <w:rPr>
          <w:rFonts w:eastAsia="Arial" w:cs="Times New Roman"/>
          <w:b/>
          <w:i/>
          <w:iCs/>
          <w:lang w:val="en-US"/>
        </w:rPr>
        <w:t xml:space="preserve">Transformer </w:t>
      </w:r>
      <w:r>
        <w:rPr>
          <w:rFonts w:eastAsia="Arial" w:cs="Times New Roman"/>
          <w:b/>
          <w:lang w:val="en-US"/>
        </w:rPr>
        <w:t xml:space="preserve">Dalam Peramalan Curah Hujan Dasarian: Studi </w:t>
      </w:r>
      <w:r>
        <w:rPr>
          <w:rFonts w:eastAsia="Arial" w:cs="Times New Roman"/>
          <w:b/>
          <w:i/>
          <w:iCs/>
          <w:lang w:val="en-US"/>
        </w:rPr>
        <w:t xml:space="preserve">Robustness </w:t>
      </w:r>
      <w:r>
        <w:rPr>
          <w:rFonts w:eastAsia="Arial" w:cs="Times New Roman"/>
          <w:b/>
          <w:lang w:val="en-US"/>
        </w:rPr>
        <w:t>Antar-Wilayah Representatif Di Indonesia</w:t>
      </w:r>
      <w:r>
        <w:rPr>
          <w:lang w:val="en-US"/>
        </w:rPr>
        <w:t xml:space="preserve">” merupakan karya asli. Seluruh ide yang ada dalam skripsi ini merupakan hasil penelitian yang saya susun sendiri dan sepanjang pengetahuan saya juga tidak terdapat karya atau pendapat yang pernah ditulis atau diterbitkan oleh orang lain, kecuali yang secara tertulis diacu dalam naskah ini serta disebutkan dalam daftar pustaka. Selain itu, tidak ada bagian dari skripsi ini yang telah digunakan sebelumnya untuk memperoleh gelar Ahli Madya atau kesarjanaan maupun sertifikat Akademik di suatu Perguruan Tinggi. </w:t>
      </w:r>
    </w:p>
    <w:p w14:paraId="5C2B747E">
      <w:pPr>
        <w:spacing w:after="200" w:line="240" w:lineRule="auto"/>
        <w:ind w:firstLine="720"/>
        <w:rPr>
          <w:lang w:val="en-US"/>
        </w:rPr>
      </w:pPr>
      <w:r>
        <w:rPr>
          <w:lang w:val="en-US"/>
        </w:rPr>
        <w:t>Jika pernyataan di atas terbukti sebaliknya, maka saya bersedia menerima sanksi yang diterapkan oleh Sekolah Tinggi Meteorologi Klimatologi dan Geofisika.</w:t>
      </w:r>
    </w:p>
    <w:p w14:paraId="0A20F62B">
      <w:pPr>
        <w:spacing w:after="200"/>
        <w:rPr>
          <w:lang w:val="en-US"/>
        </w:rPr>
      </w:pPr>
    </w:p>
    <w:p w14:paraId="2D9094C8">
      <w:pPr>
        <w:spacing w:after="200"/>
        <w:rPr>
          <w:lang w:val="en-US"/>
        </w:rPr>
      </w:pPr>
    </w:p>
    <w:p w14:paraId="1EA8893C">
      <w:pPr>
        <w:tabs>
          <w:tab w:val="center" w:pos="6379"/>
        </w:tabs>
        <w:spacing w:after="0" w:line="240" w:lineRule="auto"/>
        <w:rPr>
          <w:lang w:val="en-US"/>
        </w:rPr>
      </w:pPr>
      <w:r>
        <w:rPr>
          <w:lang w:val="en-US"/>
        </w:rPr>
        <w:tab/>
      </w:r>
      <w:r>
        <w:rPr>
          <w:lang w:val="en-US"/>
        </w:rPr>
        <w:t>Kota Tangerang, 31 Juli 2026</w:t>
      </w:r>
    </w:p>
    <w:p w14:paraId="42A58EB3">
      <w:pPr>
        <w:tabs>
          <w:tab w:val="center" w:pos="6379"/>
        </w:tabs>
        <w:spacing w:after="0" w:line="240" w:lineRule="auto"/>
        <w:rPr>
          <w:lang w:val="en-US"/>
        </w:rPr>
      </w:pPr>
      <w:r>
        <w:rPr>
          <w:lang w:val="en-US"/>
        </w:rPr>
        <w:tab/>
      </w:r>
      <w:r>
        <w:rPr>
          <w:lang w:val="en-US"/>
        </w:rPr>
        <w:t>Penulis,</w:t>
      </w:r>
    </w:p>
    <w:p w14:paraId="646042F0">
      <w:pPr>
        <w:tabs>
          <w:tab w:val="center" w:pos="6379"/>
        </w:tabs>
        <w:spacing w:after="0"/>
        <w:rPr>
          <w:lang w:val="en-US"/>
        </w:rPr>
      </w:pPr>
    </w:p>
    <w:p w14:paraId="5BF4F031">
      <w:pPr>
        <w:tabs>
          <w:tab w:val="center" w:pos="6379"/>
        </w:tabs>
        <w:spacing w:after="0"/>
        <w:rPr>
          <w:lang w:val="en-US"/>
        </w:rPr>
      </w:pPr>
    </w:p>
    <w:p w14:paraId="5EAF5D11">
      <w:pPr>
        <w:tabs>
          <w:tab w:val="center" w:pos="6379"/>
        </w:tabs>
        <w:spacing w:after="0"/>
        <w:rPr>
          <w:lang w:val="en-US"/>
        </w:rPr>
      </w:pPr>
    </w:p>
    <w:p w14:paraId="08924A24">
      <w:pPr>
        <w:tabs>
          <w:tab w:val="center" w:pos="6379"/>
        </w:tabs>
        <w:spacing w:after="0"/>
        <w:rPr>
          <w:lang w:val="en-US"/>
        </w:rPr>
      </w:pPr>
    </w:p>
    <w:p w14:paraId="6F330F4E">
      <w:pPr>
        <w:tabs>
          <w:tab w:val="center" w:pos="6379"/>
        </w:tabs>
        <w:spacing w:after="0" w:line="240" w:lineRule="auto"/>
        <w:rPr>
          <w:lang w:val="en-US"/>
        </w:rPr>
      </w:pPr>
      <w:r>
        <w:rPr>
          <w:lang w:val="en-US"/>
        </w:rPr>
        <w:tab/>
      </w:r>
      <w:r>
        <w:rPr>
          <w:u w:val="single"/>
          <w:lang w:val="en-US"/>
        </w:rPr>
        <w:t>Tonny Wahyu Aji</w:t>
      </w:r>
    </w:p>
    <w:p w14:paraId="14DF2770">
      <w:pPr>
        <w:tabs>
          <w:tab w:val="center" w:pos="6379"/>
        </w:tabs>
        <w:spacing w:after="0" w:line="240" w:lineRule="auto"/>
        <w:rPr>
          <w:lang w:val="en-US"/>
        </w:rPr>
      </w:pPr>
      <w:r>
        <w:rPr>
          <w:lang w:val="en-US"/>
        </w:rPr>
        <w:tab/>
      </w:r>
      <w:r>
        <w:rPr>
          <w:lang w:val="en-US"/>
        </w:rPr>
        <w:t>NPT. 41.22.0033</w:t>
      </w:r>
    </w:p>
    <w:p w14:paraId="4FF8B027">
      <w:pPr>
        <w:spacing w:after="200"/>
        <w:rPr>
          <w:rFonts w:eastAsia="Arial" w:cs="Times New Roman"/>
          <w:b/>
          <w:i/>
          <w:lang w:val="en-US"/>
        </w:rPr>
      </w:pPr>
      <w:r>
        <w:rPr>
          <w:lang w:val="en-US"/>
        </w:rPr>
        <w:br w:type="page"/>
      </w:r>
    </w:p>
    <w:p w14:paraId="128AB86A">
      <w:pPr>
        <w:pStyle w:val="2"/>
      </w:pPr>
      <w:bookmarkStart w:id="6" w:name="_Toc236076708"/>
      <w:r>
        <w:t>HALAMAN MOTTO DAN PERSEMBAHAN</w:t>
      </w:r>
      <w:bookmarkEnd w:id="6"/>
    </w:p>
    <w:p w14:paraId="6ED171BA">
      <w:pPr>
        <w:pStyle w:val="23"/>
        <w:rPr>
          <w:lang w:val="en-US"/>
        </w:rPr>
      </w:pPr>
    </w:p>
    <w:p w14:paraId="7404E7C0">
      <w:pPr>
        <w:pStyle w:val="23"/>
        <w:rPr>
          <w:lang w:val="en-US"/>
        </w:rPr>
      </w:pPr>
    </w:p>
    <w:p w14:paraId="7B3BA243">
      <w:pPr>
        <w:pStyle w:val="23"/>
        <w:rPr>
          <w:lang w:val="en-US"/>
        </w:rPr>
      </w:pPr>
    </w:p>
    <w:p w14:paraId="39CCEBBC">
      <w:pPr>
        <w:pStyle w:val="23"/>
        <w:rPr>
          <w:lang w:val="en-US"/>
        </w:rPr>
      </w:pPr>
    </w:p>
    <w:p w14:paraId="057C6DD5">
      <w:pPr>
        <w:pStyle w:val="23"/>
        <w:jc w:val="center"/>
        <w:rPr>
          <w:lang w:val="en-US"/>
        </w:rPr>
      </w:pPr>
      <w:r>
        <w:rPr>
          <w:lang w:val="en-US"/>
        </w:rPr>
        <w:t>“</w:t>
      </w:r>
      <w:r>
        <w:rPr>
          <w:b/>
          <w:i/>
          <w:lang w:val="en-US"/>
        </w:rPr>
        <w:t>Bacalah dengan (menyebut) nama Tuhanmu yang menciptakan. Dia telah menciptakan manusia dari segumpal darah. Bacalah, dan Tuhanmulah Yang Maha Mulia. Yang mengajar manusia dengan pena. Dia mengajarkan manusia apa yang tidak diketahuinya</w:t>
      </w:r>
      <w:r>
        <w:rPr>
          <w:lang w:val="en-US"/>
        </w:rPr>
        <w:t>.”</w:t>
      </w:r>
    </w:p>
    <w:p w14:paraId="118E3263">
      <w:pPr>
        <w:pStyle w:val="23"/>
        <w:jc w:val="center"/>
        <w:rPr>
          <w:lang w:val="en-US"/>
        </w:rPr>
      </w:pPr>
      <w:r>
        <w:rPr>
          <w:lang w:val="en-US"/>
        </w:rPr>
        <w:t>— Q.S. Al-‘Alaq: 1–5 —</w:t>
      </w:r>
    </w:p>
    <w:p w14:paraId="172FC7AD">
      <w:pPr>
        <w:pStyle w:val="23"/>
        <w:rPr>
          <w:lang w:val="en-US"/>
        </w:rPr>
      </w:pPr>
    </w:p>
    <w:p w14:paraId="1F0BE4CF">
      <w:pPr>
        <w:pStyle w:val="23"/>
        <w:rPr>
          <w:lang w:val="en-US"/>
        </w:rPr>
      </w:pPr>
    </w:p>
    <w:p w14:paraId="26558C14">
      <w:pPr>
        <w:pStyle w:val="23"/>
        <w:rPr>
          <w:lang w:val="en-US"/>
        </w:rPr>
      </w:pPr>
    </w:p>
    <w:p w14:paraId="3AEB9B8E">
      <w:pPr>
        <w:pStyle w:val="23"/>
        <w:rPr>
          <w:lang w:val="en-US"/>
        </w:rPr>
      </w:pPr>
    </w:p>
    <w:p w14:paraId="7BBB6A94">
      <w:pPr>
        <w:pStyle w:val="23"/>
        <w:jc w:val="center"/>
        <w:rPr>
          <w:lang w:val="en-US"/>
        </w:rPr>
      </w:pPr>
      <w:r>
        <w:rPr>
          <w:lang w:val="en-US"/>
        </w:rPr>
        <w:t>KARYA TULIS ILMIAH INI KUPERSEMBAHKAN UNTUK AYAH, BUNDA, DAN KEDUA ADIKKU TERCINTA, SERTA KELUARGA BESAR</w:t>
      </w:r>
      <w:r>
        <w:rPr>
          <w:lang w:val="en-US"/>
        </w:rPr>
        <w:br w:type="textWrapping"/>
      </w:r>
      <w:r>
        <w:rPr>
          <w:lang w:val="en-US"/>
        </w:rPr>
        <w:t>KAKEK NURMEI BACHTAR DAN MBAH GALIMAN</w:t>
      </w:r>
      <w:r>
        <w:rPr>
          <w:lang w:val="en-US"/>
        </w:rPr>
        <w:br w:type="textWrapping"/>
      </w:r>
      <w:r>
        <w:rPr>
          <w:i/>
          <w:lang w:val="en-US"/>
        </w:rPr>
        <w:t>(rahimahumallah)</w:t>
      </w:r>
      <w:r>
        <w:rPr>
          <w:lang w:val="en-US"/>
        </w:rPr>
        <w:br w:type="page"/>
      </w:r>
    </w:p>
    <w:p w14:paraId="5FF4A15B">
      <w:pPr>
        <w:pStyle w:val="2"/>
      </w:pPr>
      <w:bookmarkStart w:id="7" w:name="_Toc236076709"/>
      <w:r>
        <w:t>KATA PENGANTAR</w:t>
      </w:r>
      <w:bookmarkEnd w:id="7"/>
    </w:p>
    <w:p w14:paraId="46DF07FC">
      <w:pPr>
        <w:ind w:firstLine="720"/>
        <w:rPr>
          <w:lang w:val="en-US"/>
        </w:rPr>
      </w:pPr>
      <w:r>
        <w:rPr>
          <w:lang w:val="en-US"/>
        </w:rPr>
        <w:t>Segala puji dan syukur ke hadirat Allah Yang Maha Esa. Atas kelimpahan rahmat dan petunjuk-Nya, penelitian bertajuk “</w:t>
      </w:r>
      <w:r>
        <w:rPr>
          <w:b/>
          <w:lang w:val="en-US"/>
        </w:rPr>
        <w:t xml:space="preserve">Pengembangan Algoritma Metaheuristik IFPOA-X Untuk Optimasi Multiobjektif </w:t>
      </w:r>
      <w:r>
        <w:rPr>
          <w:b/>
          <w:i/>
          <w:lang w:val="en-US"/>
        </w:rPr>
        <w:t>Transformer</w:t>
      </w:r>
      <w:r>
        <w:rPr>
          <w:b/>
          <w:lang w:val="en-US"/>
        </w:rPr>
        <w:t xml:space="preserve"> Dalam Peramalan Curah Hujan Dasarian: Studi </w:t>
      </w:r>
      <w:r>
        <w:rPr>
          <w:b/>
          <w:i/>
          <w:lang w:val="en-US"/>
        </w:rPr>
        <w:t>Robustness</w:t>
      </w:r>
      <w:r>
        <w:rPr>
          <w:b/>
          <w:lang w:val="en-US"/>
        </w:rPr>
        <w:t xml:space="preserve"> Antar-Wilayah Representatif Di Indonesia</w:t>
      </w:r>
      <w:r>
        <w:rPr>
          <w:lang w:val="en-US"/>
        </w:rPr>
        <w:t xml:space="preserve">” ini dapat rampung tepat waktu. Perjalanan akademik ini diwarnai pelbagai rintangan. Namun, atas bimbingan dan bantuan banyak pihak, seluruh tantangan tersebut dapat teratasi. Penulis haturkan terima kasih kepada: </w:t>
      </w:r>
    </w:p>
    <w:p w14:paraId="754225E9">
      <w:pPr>
        <w:pStyle w:val="33"/>
        <w:numPr>
          <w:ilvl w:val="0"/>
          <w:numId w:val="2"/>
        </w:numPr>
        <w:rPr>
          <w:lang w:val="en-US"/>
        </w:rPr>
      </w:pPr>
      <w:r>
        <w:rPr>
          <w:lang w:val="en-US"/>
        </w:rPr>
        <w:t>Bapak Prof. Ir. Teuku Faisal Fathani, Ph.D., selaku Kepala Badan Meteorologi Klimatologi dan Geofisika (BMKG).</w:t>
      </w:r>
    </w:p>
    <w:p w14:paraId="05B553E9">
      <w:pPr>
        <w:pStyle w:val="33"/>
        <w:numPr>
          <w:ilvl w:val="0"/>
          <w:numId w:val="2"/>
        </w:numPr>
        <w:rPr>
          <w:lang w:val="en-US"/>
        </w:rPr>
      </w:pPr>
      <w:r>
        <w:rPr>
          <w:lang w:val="en-US"/>
        </w:rPr>
        <w:t>Bapak Dr. Deni Septiadi, M. Si., selaku Ketua Sekolah Tinggi Meteorologi Klimatologi dan Geofisika (STMKG).</w:t>
      </w:r>
    </w:p>
    <w:p w14:paraId="1860B34A">
      <w:pPr>
        <w:pStyle w:val="33"/>
        <w:numPr>
          <w:ilvl w:val="0"/>
          <w:numId w:val="2"/>
        </w:numPr>
        <w:rPr>
          <w:lang w:val="en-US"/>
        </w:rPr>
      </w:pPr>
      <w:r>
        <w:rPr>
          <w:lang w:val="en-US"/>
        </w:rPr>
        <w:t>Bapak Ir. Nardi, S.T., M.Kom., selaku Ketua Program Sarjana Terapan Instrumentasi-MKG STMKG.</w:t>
      </w:r>
    </w:p>
    <w:p w14:paraId="50CAE6B6">
      <w:pPr>
        <w:pStyle w:val="33"/>
        <w:numPr>
          <w:ilvl w:val="0"/>
          <w:numId w:val="2"/>
        </w:numPr>
        <w:rPr>
          <w:szCs w:val="24"/>
          <w:lang w:val="en-US"/>
        </w:rPr>
      </w:pPr>
      <w:r>
        <w:rPr>
          <w:szCs w:val="24"/>
          <w:lang w:val="en-US"/>
        </w:rPr>
        <w:t xml:space="preserve">Bapak </w:t>
      </w:r>
      <w:r>
        <w:rPr>
          <w:rFonts w:cs="Times New Roman"/>
          <w:szCs w:val="24"/>
        </w:rPr>
        <w:t>Dr. Ir Marzuki Sinambela, S.Kom, M.T</w:t>
      </w:r>
      <w:r>
        <w:rPr>
          <w:rFonts w:cs="Times New Roman"/>
          <w:szCs w:val="24"/>
          <w:lang w:val="en-US"/>
        </w:rPr>
        <w:t>.</w:t>
      </w:r>
      <w:r>
        <w:rPr>
          <w:rFonts w:cs="Times New Roman"/>
          <w:szCs w:val="24"/>
        </w:rPr>
        <w:t xml:space="preserve">, </w:t>
      </w:r>
      <w:r>
        <w:rPr>
          <w:szCs w:val="24"/>
          <w:lang w:val="en-US"/>
        </w:rPr>
        <w:t>selaku Dosen Pembimbing, atas segala pengorbanan, kebaikan, waktu, tenaga, pikiran, bimbingan, saran, dan dukungan yang diberikan kepada penulis selama berada di STMKG terutama semenjak semester 5. Terima kasih sebesar-besarnya atas kesediaan Beliau meluangkan segalanya untuk membantu segala kegiatan akademik terutama publikasi dan kompetisi perlombaan yang sangat mendorong Penulis untuk terus maju hingga saat ini. Suatu kehormatan bisa mengenal Beliau.</w:t>
      </w:r>
    </w:p>
    <w:p w14:paraId="1301C33D">
      <w:pPr>
        <w:pStyle w:val="33"/>
        <w:numPr>
          <w:ilvl w:val="0"/>
          <w:numId w:val="2"/>
        </w:numPr>
        <w:rPr>
          <w:szCs w:val="24"/>
          <w:lang w:val="en-US"/>
        </w:rPr>
      </w:pPr>
      <w:r>
        <w:rPr>
          <w:szCs w:val="24"/>
          <w:lang w:val="en-US"/>
        </w:rPr>
        <w:t>Bapak Ir. Edward Trihadi, M.SEM., selaku Dosen Ketua Tim Penguji yang telah memberikan masukan yang sangat membangun, serta memberikan ilmu tentang Database yang sangat bermanfaat semasa kuliah. Suatu kehormatan bisa diajarkan oleh Beliau.</w:t>
      </w:r>
    </w:p>
    <w:p w14:paraId="45ABBCF2">
      <w:pPr>
        <w:pStyle w:val="33"/>
        <w:numPr>
          <w:ilvl w:val="0"/>
          <w:numId w:val="2"/>
        </w:numPr>
        <w:rPr>
          <w:szCs w:val="24"/>
          <w:lang w:val="en-US"/>
        </w:rPr>
      </w:pPr>
      <w:r>
        <w:rPr>
          <w:szCs w:val="24"/>
          <w:lang w:val="en-US"/>
        </w:rPr>
        <w:t xml:space="preserve">Bapak </w:t>
      </w:r>
      <w:r>
        <w:rPr>
          <w:rFonts w:cs="Times New Roman"/>
        </w:rPr>
        <w:t>Dr. Hapsoro Agung Nugroho, S.T., M.T., IPM</w:t>
      </w:r>
      <w:r>
        <w:rPr>
          <w:rFonts w:cs="Times New Roman"/>
          <w:lang w:val="en-US"/>
        </w:rPr>
        <w:t xml:space="preserve">., selaku Dosen Anggota Tim Penguji </w:t>
      </w:r>
      <w:r>
        <w:rPr>
          <w:szCs w:val="24"/>
          <w:lang w:val="en-US"/>
        </w:rPr>
        <w:t>yang telah memberikan masukan yang sangat membangun, serta memberikan kesempatan Penulis untuk menjadi Asisten Dosen mata kuliah yang diampu. Suatu kehormatan bisa dipercaya oleh Beliau.</w:t>
      </w:r>
    </w:p>
    <w:p w14:paraId="687C7C2F">
      <w:pPr>
        <w:pStyle w:val="33"/>
        <w:numPr>
          <w:ilvl w:val="0"/>
          <w:numId w:val="2"/>
        </w:numPr>
        <w:rPr>
          <w:szCs w:val="24"/>
          <w:lang w:val="en-US"/>
        </w:rPr>
      </w:pPr>
      <w:r>
        <w:rPr>
          <w:szCs w:val="24"/>
          <w:lang w:val="en-US"/>
        </w:rPr>
        <w:t>Seluruh dosen pengajar, staf, dan sivitas akademika di STMKG yang telah memberikan ilmu, bantuan, dan kemudahan bagi penulis selama menempuh masa perkuliahan.</w:t>
      </w:r>
    </w:p>
    <w:p w14:paraId="0AB502F9">
      <w:pPr>
        <w:pStyle w:val="33"/>
        <w:numPr>
          <w:ilvl w:val="0"/>
          <w:numId w:val="2"/>
        </w:numPr>
        <w:rPr>
          <w:szCs w:val="24"/>
          <w:lang w:val="en-US"/>
        </w:rPr>
      </w:pPr>
      <w:r>
        <w:rPr>
          <w:szCs w:val="24"/>
          <w:lang w:val="en-US"/>
        </w:rPr>
        <w:t>Direktorat Data dan Komputasi BMKG Pusat, yang telah bersedia memberikan data.</w:t>
      </w:r>
    </w:p>
    <w:p w14:paraId="5D3FD383">
      <w:pPr>
        <w:pStyle w:val="33"/>
        <w:numPr>
          <w:ilvl w:val="0"/>
          <w:numId w:val="2"/>
        </w:numPr>
        <w:rPr>
          <w:szCs w:val="24"/>
          <w:lang w:val="en-US"/>
        </w:rPr>
      </w:pPr>
      <w:r>
        <w:rPr>
          <w:szCs w:val="24"/>
          <w:lang w:val="en-US"/>
        </w:rPr>
        <w:t>Senior Hanifullah Hafidz Arrizal yang telah menjadi motivasi dan inspirasi, juga banyak memberikan kritik, saran, dan bantuan dalam kegiatan penelitian.</w:t>
      </w:r>
    </w:p>
    <w:p w14:paraId="74A2263F">
      <w:pPr>
        <w:ind w:left="142" w:firstLine="578"/>
        <w:rPr>
          <w:lang w:val="en-US"/>
        </w:rPr>
      </w:pPr>
      <w:r>
        <w:rPr>
          <w:lang w:val="en-US"/>
        </w:rPr>
        <w:t xml:space="preserve">Ucapan terima kasih yang tak terhingga juga Penulis sampaikan kepada pihak-pihak yang telah menjadi sumber inspirasi dan dukungan moral: </w:t>
      </w:r>
    </w:p>
    <w:p w14:paraId="0BA2410A">
      <w:pPr>
        <w:pStyle w:val="33"/>
        <w:numPr>
          <w:ilvl w:val="0"/>
          <w:numId w:val="3"/>
        </w:numPr>
        <w:rPr>
          <w:szCs w:val="24"/>
          <w:lang w:val="en-US"/>
        </w:rPr>
      </w:pPr>
      <w:r>
        <w:rPr>
          <w:lang w:val="en-US"/>
        </w:rPr>
        <w:t xml:space="preserve">Penghargaan tertinggi dan rasa kasih yang tak bertepi penulis persembahkan kepada kedua pintu surga serta harta paling berharga dalam hidup: keluarga tercinta. Terkhusus untuk Ayahanda Mouly Afriyan dan Ibunda Yayuk Niken Fitriana, sungguh tiada diksi yang sanggup menakar besarnya setiap tetes keringat, ketulusan pengorbanan, serta bait-bait doa yang tak putus mengiringi setiap langkah penulis. Kepada adik-adik tersayang, Alfira Sabrina Purwakinanti dan Arfina Septriani Jelita, terima kasih telah menjadi pendengar yang teduh dan sumber semangat yang tak pernah padam. Kalian adalah sebaik-baiknya tempat pulang, dan alasan paling utuh di balik setiap perjuangan ini. </w:t>
      </w:r>
    </w:p>
    <w:p w14:paraId="6AA5E3BD">
      <w:pPr>
        <w:pStyle w:val="33"/>
        <w:numPr>
          <w:ilvl w:val="0"/>
          <w:numId w:val="3"/>
        </w:numPr>
        <w:rPr>
          <w:szCs w:val="24"/>
          <w:lang w:val="en-US"/>
        </w:rPr>
      </w:pPr>
      <w:r>
        <w:rPr>
          <w:szCs w:val="24"/>
          <w:lang w:val="en-US"/>
        </w:rPr>
        <w:t>Ungkapan terima kasih yang tulus penulis haturkan kepada segenap Keluarga Besar Kakek Nurmei Bachtar, terutama Nenek Siti Juraidah, terkhusus Tante Endly, Tante Nany, Om Jali, Bude Win, Abang Farhan, Arda, Nina, Mas Iyo, serta Syahdan, atas kehangatan, serta segala bentuk pengorbanan dan kebaikan yang tak terhitung nilainya sepanjang perjalanan studi penulis.</w:t>
      </w:r>
    </w:p>
    <w:p w14:paraId="791EB1F5">
      <w:pPr>
        <w:pStyle w:val="33"/>
        <w:numPr>
          <w:ilvl w:val="0"/>
          <w:numId w:val="3"/>
        </w:numPr>
        <w:rPr>
          <w:szCs w:val="24"/>
          <w:lang w:val="en-US"/>
        </w:rPr>
      </w:pPr>
      <w:r>
        <w:rPr>
          <w:szCs w:val="24"/>
          <w:lang w:val="en-US"/>
        </w:rPr>
        <w:t>Ungkapan terima kasih yang tulus penulis haturkan kepada segenap Keluarga Besar Mbah Galiman, terkhusus Mbok Saripah, terkhusus Mama Sinyo, Bude Runtut, Lek Sul, Mas Sinyo, Mas Agus, Mas Yoga, Mba Pia, Mba Lia, Mba Upi, serta saudara lainnya, atas kehangatan, serta segala bentuk perhatian dan doa yang tak terhitung nilainya sepanjang perjalanan studi penulis.</w:t>
      </w:r>
    </w:p>
    <w:p w14:paraId="299DFE37">
      <w:pPr>
        <w:pStyle w:val="33"/>
        <w:numPr>
          <w:ilvl w:val="0"/>
          <w:numId w:val="3"/>
        </w:numPr>
        <w:rPr>
          <w:szCs w:val="24"/>
          <w:lang w:val="en-US"/>
        </w:rPr>
      </w:pPr>
      <w:r>
        <w:rPr>
          <w:szCs w:val="24"/>
          <w:lang w:val="en-US"/>
        </w:rPr>
        <w:t>Secara khusus, terima kasih setulusnya penulis persembahkan kepada Syahrajad Al Syarqiyah atas perannya yang begitu berarti sebagai penyemangat di saat-saat tersulit. Terima kasih atas segala pengorbanan, pengertian, keindahan, kesabaran tanpa batas, kasih sayang, dan doa yang tak pernah putus menyertai setiap ikhtiar penulis hingga titik ini.</w:t>
      </w:r>
    </w:p>
    <w:p w14:paraId="2D2E4159">
      <w:pPr>
        <w:pStyle w:val="33"/>
        <w:numPr>
          <w:ilvl w:val="0"/>
          <w:numId w:val="3"/>
        </w:numPr>
        <w:rPr>
          <w:szCs w:val="24"/>
          <w:lang w:val="en-US"/>
        </w:rPr>
      </w:pPr>
      <w:r>
        <w:rPr>
          <w:szCs w:val="24"/>
          <w:lang w:val="en-US"/>
        </w:rPr>
        <w:t>Sahabat penulis, Pasukan Khusus STMKG Angkatan XVII, yang telah menjadi tempat terpercaya berkeluh kesah. Serta Keluarga Besar Pasukan Khusus STMKG, terima kasih telah menerima penulis.</w:t>
      </w:r>
    </w:p>
    <w:p w14:paraId="628DC41A">
      <w:pPr>
        <w:pStyle w:val="33"/>
        <w:numPr>
          <w:ilvl w:val="0"/>
          <w:numId w:val="3"/>
        </w:numPr>
        <w:rPr>
          <w:szCs w:val="24"/>
          <w:lang w:val="en-US"/>
        </w:rPr>
      </w:pPr>
      <w:r>
        <w:rPr>
          <w:szCs w:val="24"/>
          <w:lang w:val="en-US"/>
        </w:rPr>
        <w:t>Seperjuangan di Kos Pak Suharso, terkhusus Yobel yang dengan tulus menemani setiap pasang-surut langkah penulis; Yasir dan Andru, kawan berfikir kritis dan berkorban selama masa studi di STMKG; serta kehangatan Kos Surga (Yobel, Zaidan, Faiz, Egi, Aldo) sebagai tempat berteduh dari kelelahan. Nama dan kebaikan kalian terukir indah dalam benak penulis.</w:t>
      </w:r>
    </w:p>
    <w:p w14:paraId="73A9124D">
      <w:pPr>
        <w:pStyle w:val="33"/>
        <w:numPr>
          <w:ilvl w:val="0"/>
          <w:numId w:val="3"/>
        </w:numPr>
        <w:rPr>
          <w:szCs w:val="24"/>
          <w:lang w:val="en-US"/>
        </w:rPr>
      </w:pPr>
      <w:r>
        <w:rPr>
          <w:szCs w:val="24"/>
          <w:lang w:val="en-US"/>
        </w:rPr>
        <w:t>Kabagas Keren, Yasir, Aviv, Dela, yang sudah bekerja sama dalam berprestasi, menolong orang, dan melakukan kebaikan.</w:t>
      </w:r>
    </w:p>
    <w:p w14:paraId="16A22A37">
      <w:pPr>
        <w:pStyle w:val="33"/>
        <w:numPr>
          <w:ilvl w:val="0"/>
          <w:numId w:val="3"/>
        </w:numPr>
        <w:rPr>
          <w:szCs w:val="24"/>
          <w:lang w:val="en-US"/>
        </w:rPr>
      </w:pPr>
      <w:r>
        <w:rPr>
          <w:szCs w:val="24"/>
          <w:lang w:val="en-US"/>
        </w:rPr>
        <w:t>Ardian Febriansyah, sahabat terbaik sedari SMK yang tahu suka duka penulis sedari kenal sampai saat ini, yang selalu mendengar keluh kesah penulis dan menolong penulis selama masa kesulitan.</w:t>
      </w:r>
    </w:p>
    <w:p w14:paraId="383013A7">
      <w:pPr>
        <w:pStyle w:val="33"/>
        <w:numPr>
          <w:ilvl w:val="0"/>
          <w:numId w:val="3"/>
        </w:numPr>
        <w:rPr>
          <w:szCs w:val="24"/>
          <w:lang w:val="en-US"/>
        </w:rPr>
      </w:pPr>
      <w:r>
        <w:rPr>
          <w:szCs w:val="24"/>
          <w:lang w:val="en-US"/>
        </w:rPr>
        <w:t>Teman-teman seperjuangan kelas Instrumentasi-MKG D 2022 yang telah solid melewati perkuliahan selama 8 semester.</w:t>
      </w:r>
    </w:p>
    <w:p w14:paraId="276EB4ED">
      <w:pPr>
        <w:pStyle w:val="33"/>
        <w:numPr>
          <w:ilvl w:val="0"/>
          <w:numId w:val="3"/>
        </w:numPr>
        <w:rPr>
          <w:szCs w:val="24"/>
          <w:lang w:val="en-US"/>
        </w:rPr>
      </w:pPr>
      <w:r>
        <w:rPr>
          <w:szCs w:val="24"/>
          <w:lang w:val="en-US"/>
        </w:rPr>
        <w:t>Rekan-rekan AURORA STMKG yang telah berjuang bersama hingga selalu menjadi finalis. Rekan-rekan Resimen Taruna STMKG, yang telah berjuang bersama selama 2 periode penulis bertugas.</w:t>
      </w:r>
    </w:p>
    <w:p w14:paraId="5D1FB7F8">
      <w:pPr>
        <w:pStyle w:val="33"/>
        <w:numPr>
          <w:ilvl w:val="0"/>
          <w:numId w:val="3"/>
        </w:numPr>
        <w:rPr>
          <w:szCs w:val="24"/>
          <w:lang w:val="en-US"/>
        </w:rPr>
      </w:pPr>
      <w:r>
        <w:rPr>
          <w:szCs w:val="24"/>
          <w:lang w:val="en-US"/>
        </w:rPr>
        <w:t>Teman-teman angkatan 2022 STMKG yang bersama sejak awal pendidikan.</w:t>
      </w:r>
    </w:p>
    <w:p w14:paraId="24E19710">
      <w:pPr>
        <w:pStyle w:val="33"/>
        <w:numPr>
          <w:ilvl w:val="0"/>
          <w:numId w:val="3"/>
        </w:numPr>
        <w:rPr>
          <w:szCs w:val="24"/>
          <w:lang w:val="en-US"/>
        </w:rPr>
      </w:pPr>
      <w:r>
        <w:rPr>
          <w:szCs w:val="24"/>
          <w:lang w:val="en-US"/>
        </w:rPr>
        <w:t>Semua pihak yang tidak dapat penulis sebutkan satu per satu, yang telah membantu kelancaran dalam pengumpulan data dan penyusunan skripsi ini.</w:t>
      </w:r>
    </w:p>
    <w:p w14:paraId="7D6CFEDA">
      <w:pPr>
        <w:ind w:firstLine="502"/>
        <w:rPr>
          <w:lang w:val="en-US"/>
        </w:rPr>
      </w:pPr>
      <w:r>
        <w:rPr>
          <w:lang w:val="en-US"/>
        </w:rPr>
        <w:t>Penulis menyadari sepenuhnya bahwa karya ini masih jauh dari kesempurnaan. Oleh karena itu, kritik dan saran yang membangun sangat penulis harapkan. Akhir kata, semoga penelitian mengenai peramalan curah hujan dasarian ini dapat memberikan manfaat teoretis maupun praktis, sekaligus menjadi sumbangsih kecil bagi kemajuan sains data dan ilmu iklim di Indonesia.</w:t>
      </w:r>
    </w:p>
    <w:p w14:paraId="5979DA52">
      <w:pPr>
        <w:tabs>
          <w:tab w:val="center" w:pos="6096"/>
        </w:tabs>
        <w:spacing w:after="0" w:line="240" w:lineRule="auto"/>
        <w:rPr>
          <w:lang w:val="en-US"/>
        </w:rPr>
      </w:pPr>
      <w:r>
        <w:rPr>
          <w:lang w:val="en-US"/>
        </w:rPr>
        <w:tab/>
      </w:r>
      <w:r>
        <w:rPr>
          <w:lang w:val="en-US"/>
        </w:rPr>
        <w:t>Kota Tangerang, 03 Agustus 2026</w:t>
      </w:r>
    </w:p>
    <w:p w14:paraId="368B9F86">
      <w:pPr>
        <w:tabs>
          <w:tab w:val="center" w:pos="6096"/>
        </w:tabs>
        <w:spacing w:after="0" w:line="240" w:lineRule="auto"/>
        <w:rPr>
          <w:lang w:val="en-US"/>
        </w:rPr>
      </w:pPr>
      <w:r>
        <w:rPr>
          <w:lang w:val="en-US"/>
        </w:rPr>
        <w:tab/>
      </w:r>
      <w:r>
        <w:rPr>
          <w:lang w:val="en-US"/>
        </w:rPr>
        <w:t>Penulis,</w:t>
      </w:r>
    </w:p>
    <w:p w14:paraId="7F62081E">
      <w:pPr>
        <w:tabs>
          <w:tab w:val="center" w:pos="6096"/>
        </w:tabs>
        <w:spacing w:after="0" w:line="240" w:lineRule="auto"/>
        <w:rPr>
          <w:lang w:val="en-US"/>
        </w:rPr>
      </w:pPr>
    </w:p>
    <w:p w14:paraId="65FAD89F">
      <w:pPr>
        <w:tabs>
          <w:tab w:val="center" w:pos="6096"/>
        </w:tabs>
        <w:spacing w:after="0" w:line="240" w:lineRule="auto"/>
        <w:rPr>
          <w:lang w:val="en-US"/>
        </w:rPr>
      </w:pPr>
    </w:p>
    <w:p w14:paraId="7AC6253F">
      <w:pPr>
        <w:tabs>
          <w:tab w:val="center" w:pos="6096"/>
        </w:tabs>
        <w:spacing w:after="0" w:line="240" w:lineRule="auto"/>
        <w:rPr>
          <w:lang w:val="en-US"/>
        </w:rPr>
      </w:pPr>
    </w:p>
    <w:p w14:paraId="2573B09F">
      <w:pPr>
        <w:tabs>
          <w:tab w:val="center" w:pos="6096"/>
        </w:tabs>
        <w:spacing w:after="0" w:line="240" w:lineRule="auto"/>
        <w:rPr>
          <w:u w:val="single"/>
          <w:lang w:val="en-US"/>
        </w:rPr>
      </w:pPr>
      <w:r>
        <w:rPr>
          <w:lang w:val="en-US"/>
        </w:rPr>
        <w:tab/>
      </w:r>
      <w:r>
        <w:rPr>
          <w:u w:val="single"/>
          <w:lang w:val="en-US"/>
        </w:rPr>
        <w:t>Tonny Wahyu Aji</w:t>
      </w:r>
    </w:p>
    <w:p w14:paraId="624B8E8A">
      <w:pPr>
        <w:tabs>
          <w:tab w:val="center" w:pos="6096"/>
        </w:tabs>
        <w:spacing w:after="0" w:line="240" w:lineRule="auto"/>
        <w:rPr>
          <w:szCs w:val="24"/>
          <w:lang w:val="en-US"/>
        </w:rPr>
      </w:pPr>
      <w:r>
        <w:rPr>
          <w:lang w:val="en-US"/>
        </w:rPr>
        <w:tab/>
      </w:r>
      <w:r>
        <w:rPr>
          <w:lang w:val="en-US"/>
        </w:rPr>
        <w:t>NPT. 41.22.0033</w:t>
      </w:r>
    </w:p>
    <w:p w14:paraId="07A8289E">
      <w:pPr>
        <w:pStyle w:val="2"/>
      </w:pPr>
      <w:bookmarkStart w:id="8" w:name="_Toc236076710"/>
      <w:r>
        <w:t>DAFTAR ISI</w:t>
      </w:r>
      <w:bookmarkEnd w:id="8"/>
    </w:p>
    <w:p w14:paraId="592AD8C3">
      <w:pPr>
        <w:pStyle w:val="27"/>
        <w:spacing w:after="0"/>
        <w:rPr>
          <w:rFonts w:asciiTheme="minorHAnsi" w:hAnsiTheme="minorHAnsi" w:eastAsiaTheme="minorEastAsia" w:cstheme="minorBidi"/>
          <w:sz w:val="22"/>
          <w:lang w:val="id-ID"/>
        </w:rPr>
      </w:pPr>
      <w:r>
        <w:fldChar w:fldCharType="begin"/>
      </w:r>
      <w:r>
        <w:instrText xml:space="preserve"> HYPERLINK \l "_Toc219473252" </w:instrText>
      </w:r>
      <w:r>
        <w:fldChar w:fldCharType="separate"/>
      </w:r>
      <w:r>
        <w:rPr>
          <w:rStyle w:val="22"/>
          <w:color w:val="auto"/>
          <w:u w:val="none"/>
        </w:rPr>
        <w:t>HALAMAN</w:t>
      </w:r>
      <w:r>
        <w:rPr>
          <w:rStyle w:val="22"/>
          <w:color w:val="auto"/>
          <w:u w:val="none"/>
        </w:rPr>
        <w:fldChar w:fldCharType="end"/>
      </w:r>
      <w:r>
        <w:t xml:space="preserve"> JUDUL……………………………………………………………….i</w:t>
      </w:r>
    </w:p>
    <w:p w14:paraId="5BCAA6DA">
      <w:pPr>
        <w:pStyle w:val="27"/>
        <w:spacing w:after="0"/>
        <w:rPr>
          <w:rFonts w:asciiTheme="minorHAnsi" w:hAnsiTheme="minorHAnsi" w:eastAsiaTheme="minorEastAsia" w:cstheme="minorBidi"/>
          <w:sz w:val="22"/>
          <w:lang w:val="id-ID"/>
        </w:rPr>
      </w:pPr>
      <w:r>
        <w:fldChar w:fldCharType="begin"/>
      </w:r>
      <w:r>
        <w:instrText xml:space="preserve"> TOC \o "1-3" \h \z \u </w:instrText>
      </w:r>
      <w:r>
        <w:fldChar w:fldCharType="separate"/>
      </w:r>
      <w:r>
        <w:fldChar w:fldCharType="begin"/>
      </w:r>
      <w:r>
        <w:instrText xml:space="preserve"> HYPERLINK \l "_Toc236076706" </w:instrText>
      </w:r>
      <w:r>
        <w:fldChar w:fldCharType="separate"/>
      </w:r>
      <w:r>
        <w:rPr>
          <w:rStyle w:val="22"/>
        </w:rPr>
        <w:t>HALAMAN PENGESAHAN</w:t>
      </w:r>
      <w:r>
        <w:tab/>
      </w:r>
      <w:r>
        <w:fldChar w:fldCharType="begin"/>
      </w:r>
      <w:r>
        <w:instrText xml:space="preserve"> PAGEREF _Toc236076706 \h </w:instrText>
      </w:r>
      <w:r>
        <w:fldChar w:fldCharType="separate"/>
      </w:r>
      <w:r>
        <w:t>ii</w:t>
      </w:r>
      <w:r>
        <w:fldChar w:fldCharType="end"/>
      </w:r>
      <w:r>
        <w:fldChar w:fldCharType="end"/>
      </w:r>
    </w:p>
    <w:p w14:paraId="086FD643">
      <w:pPr>
        <w:pStyle w:val="27"/>
        <w:spacing w:after="0"/>
        <w:rPr>
          <w:rFonts w:asciiTheme="minorHAnsi" w:hAnsiTheme="minorHAnsi" w:eastAsiaTheme="minorEastAsia" w:cstheme="minorBidi"/>
          <w:sz w:val="22"/>
          <w:lang w:val="id-ID"/>
        </w:rPr>
      </w:pPr>
      <w:r>
        <w:fldChar w:fldCharType="begin"/>
      </w:r>
      <w:r>
        <w:instrText xml:space="preserve"> HYPERLINK \l "_Toc236076707" </w:instrText>
      </w:r>
      <w:r>
        <w:fldChar w:fldCharType="separate"/>
      </w:r>
      <w:r>
        <w:rPr>
          <w:rStyle w:val="22"/>
        </w:rPr>
        <w:t>HALAMAN PERNYATAAN ORISINALITAS</w:t>
      </w:r>
      <w:r>
        <w:tab/>
      </w:r>
      <w:r>
        <w:fldChar w:fldCharType="begin"/>
      </w:r>
      <w:r>
        <w:instrText xml:space="preserve"> PAGEREF _Toc236076707 \h </w:instrText>
      </w:r>
      <w:r>
        <w:fldChar w:fldCharType="separate"/>
      </w:r>
      <w:r>
        <w:t>iii</w:t>
      </w:r>
      <w:r>
        <w:fldChar w:fldCharType="end"/>
      </w:r>
      <w:r>
        <w:fldChar w:fldCharType="end"/>
      </w:r>
    </w:p>
    <w:p w14:paraId="457B6C61">
      <w:pPr>
        <w:pStyle w:val="27"/>
        <w:spacing w:after="0"/>
        <w:rPr>
          <w:rFonts w:asciiTheme="minorHAnsi" w:hAnsiTheme="minorHAnsi" w:eastAsiaTheme="minorEastAsia" w:cstheme="minorBidi"/>
          <w:sz w:val="22"/>
          <w:lang w:val="id-ID"/>
        </w:rPr>
      </w:pPr>
      <w:r>
        <w:fldChar w:fldCharType="begin"/>
      </w:r>
      <w:r>
        <w:instrText xml:space="preserve"> HYPERLINK \l "_Toc236076708" </w:instrText>
      </w:r>
      <w:r>
        <w:fldChar w:fldCharType="separate"/>
      </w:r>
      <w:r>
        <w:rPr>
          <w:rStyle w:val="22"/>
        </w:rPr>
        <w:t>HALAMAN MOTTO DAN PERSEMBAHAN</w:t>
      </w:r>
      <w:r>
        <w:tab/>
      </w:r>
      <w:r>
        <w:fldChar w:fldCharType="begin"/>
      </w:r>
      <w:r>
        <w:instrText xml:space="preserve"> PAGEREF _Toc236076708 \h </w:instrText>
      </w:r>
      <w:r>
        <w:fldChar w:fldCharType="separate"/>
      </w:r>
      <w:r>
        <w:t>iv</w:t>
      </w:r>
      <w:r>
        <w:fldChar w:fldCharType="end"/>
      </w:r>
      <w:r>
        <w:fldChar w:fldCharType="end"/>
      </w:r>
    </w:p>
    <w:p w14:paraId="2AF9AD3E">
      <w:pPr>
        <w:pStyle w:val="27"/>
        <w:spacing w:after="0"/>
        <w:rPr>
          <w:rFonts w:asciiTheme="minorHAnsi" w:hAnsiTheme="minorHAnsi" w:eastAsiaTheme="minorEastAsia" w:cstheme="minorBidi"/>
          <w:sz w:val="22"/>
          <w:lang w:val="id-ID"/>
        </w:rPr>
      </w:pPr>
      <w:r>
        <w:fldChar w:fldCharType="begin"/>
      </w:r>
      <w:r>
        <w:instrText xml:space="preserve"> HYPERLINK \l "_Toc236076709" </w:instrText>
      </w:r>
      <w:r>
        <w:fldChar w:fldCharType="separate"/>
      </w:r>
      <w:r>
        <w:rPr>
          <w:rStyle w:val="22"/>
        </w:rPr>
        <w:t>KATA PENGANTAR</w:t>
      </w:r>
      <w:r>
        <w:tab/>
      </w:r>
      <w:r>
        <w:fldChar w:fldCharType="begin"/>
      </w:r>
      <w:r>
        <w:instrText xml:space="preserve"> PAGEREF _Toc236076709 \h </w:instrText>
      </w:r>
      <w:r>
        <w:fldChar w:fldCharType="separate"/>
      </w:r>
      <w:r>
        <w:t>v</w:t>
      </w:r>
      <w:r>
        <w:fldChar w:fldCharType="end"/>
      </w:r>
      <w:r>
        <w:fldChar w:fldCharType="end"/>
      </w:r>
    </w:p>
    <w:p w14:paraId="4777DB7F">
      <w:pPr>
        <w:pStyle w:val="27"/>
        <w:spacing w:after="0"/>
        <w:rPr>
          <w:rFonts w:asciiTheme="minorHAnsi" w:hAnsiTheme="minorHAnsi" w:eastAsiaTheme="minorEastAsia" w:cstheme="minorBidi"/>
          <w:sz w:val="22"/>
          <w:lang w:val="id-ID"/>
        </w:rPr>
      </w:pPr>
      <w:r>
        <w:fldChar w:fldCharType="begin"/>
      </w:r>
      <w:r>
        <w:instrText xml:space="preserve"> HYPERLINK \l "_Toc236076710" </w:instrText>
      </w:r>
      <w:r>
        <w:fldChar w:fldCharType="separate"/>
      </w:r>
      <w:r>
        <w:rPr>
          <w:rStyle w:val="22"/>
        </w:rPr>
        <w:t>DAFTAR ISI</w:t>
      </w:r>
      <w:r>
        <w:tab/>
      </w:r>
      <w:r>
        <w:fldChar w:fldCharType="begin"/>
      </w:r>
      <w:r>
        <w:instrText xml:space="preserve"> PAGEREF _Toc236076710 \h </w:instrText>
      </w:r>
      <w:r>
        <w:fldChar w:fldCharType="separate"/>
      </w:r>
      <w:r>
        <w:t>viii</w:t>
      </w:r>
      <w:r>
        <w:fldChar w:fldCharType="end"/>
      </w:r>
      <w:r>
        <w:fldChar w:fldCharType="end"/>
      </w:r>
    </w:p>
    <w:p w14:paraId="5C2C64E9">
      <w:pPr>
        <w:pStyle w:val="27"/>
        <w:spacing w:after="0"/>
        <w:rPr>
          <w:rFonts w:asciiTheme="minorHAnsi" w:hAnsiTheme="minorHAnsi" w:eastAsiaTheme="minorEastAsia" w:cstheme="minorBidi"/>
          <w:sz w:val="22"/>
          <w:lang w:val="id-ID"/>
        </w:rPr>
      </w:pPr>
      <w:r>
        <w:fldChar w:fldCharType="begin"/>
      </w:r>
      <w:r>
        <w:instrText xml:space="preserve"> HYPERLINK \l "_Toc236076711" </w:instrText>
      </w:r>
      <w:r>
        <w:fldChar w:fldCharType="separate"/>
      </w:r>
      <w:r>
        <w:rPr>
          <w:rStyle w:val="22"/>
        </w:rPr>
        <w:t>DAFTAR TABEL</w:t>
      </w:r>
      <w:r>
        <w:tab/>
      </w:r>
      <w:r>
        <w:fldChar w:fldCharType="begin"/>
      </w:r>
      <w:r>
        <w:instrText xml:space="preserve"> PAGEREF _Toc236076711 \h </w:instrText>
      </w:r>
      <w:r>
        <w:fldChar w:fldCharType="separate"/>
      </w:r>
      <w:r>
        <w:t>x</w:t>
      </w:r>
      <w:r>
        <w:fldChar w:fldCharType="end"/>
      </w:r>
      <w:r>
        <w:fldChar w:fldCharType="end"/>
      </w:r>
    </w:p>
    <w:p w14:paraId="2E282D51">
      <w:pPr>
        <w:pStyle w:val="27"/>
        <w:spacing w:after="0"/>
        <w:rPr>
          <w:rFonts w:asciiTheme="minorHAnsi" w:hAnsiTheme="minorHAnsi" w:eastAsiaTheme="minorEastAsia" w:cstheme="minorBidi"/>
          <w:sz w:val="22"/>
          <w:lang w:val="id-ID"/>
        </w:rPr>
      </w:pPr>
      <w:r>
        <w:fldChar w:fldCharType="begin"/>
      </w:r>
      <w:r>
        <w:instrText xml:space="preserve"> HYPERLINK \l "_Toc236076712" </w:instrText>
      </w:r>
      <w:r>
        <w:fldChar w:fldCharType="separate"/>
      </w:r>
      <w:r>
        <w:rPr>
          <w:rStyle w:val="22"/>
        </w:rPr>
        <w:t>DAFTAR GAMBAR</w:t>
      </w:r>
      <w:r>
        <w:tab/>
      </w:r>
      <w:r>
        <w:fldChar w:fldCharType="begin"/>
      </w:r>
      <w:r>
        <w:instrText xml:space="preserve"> PAGEREF _Toc236076712 \h </w:instrText>
      </w:r>
      <w:r>
        <w:fldChar w:fldCharType="separate"/>
      </w:r>
      <w:r>
        <w:t>xi</w:t>
      </w:r>
      <w:r>
        <w:fldChar w:fldCharType="end"/>
      </w:r>
      <w:r>
        <w:fldChar w:fldCharType="end"/>
      </w:r>
    </w:p>
    <w:p w14:paraId="565F3AC4">
      <w:pPr>
        <w:pStyle w:val="27"/>
        <w:spacing w:after="0"/>
        <w:rPr>
          <w:rFonts w:asciiTheme="minorHAnsi" w:hAnsiTheme="minorHAnsi" w:eastAsiaTheme="minorEastAsia" w:cstheme="minorBidi"/>
          <w:sz w:val="22"/>
          <w:lang w:val="id-ID"/>
        </w:rPr>
      </w:pPr>
      <w:r>
        <w:fldChar w:fldCharType="begin"/>
      </w:r>
      <w:r>
        <w:instrText xml:space="preserve"> HYPERLINK \l "_Toc236076713" </w:instrText>
      </w:r>
      <w:r>
        <w:fldChar w:fldCharType="separate"/>
      </w:r>
      <w:r>
        <w:rPr>
          <w:rStyle w:val="22"/>
        </w:rPr>
        <w:t>DAFTAR LAMPIRAN</w:t>
      </w:r>
      <w:r>
        <w:tab/>
      </w:r>
      <w:r>
        <w:fldChar w:fldCharType="begin"/>
      </w:r>
      <w:r>
        <w:instrText xml:space="preserve"> PAGEREF _Toc236076713 \h </w:instrText>
      </w:r>
      <w:r>
        <w:fldChar w:fldCharType="separate"/>
      </w:r>
      <w:r>
        <w:t>xiii</w:t>
      </w:r>
      <w:r>
        <w:fldChar w:fldCharType="end"/>
      </w:r>
      <w:r>
        <w:fldChar w:fldCharType="end"/>
      </w:r>
    </w:p>
    <w:p w14:paraId="1E5E4FD7">
      <w:pPr>
        <w:pStyle w:val="27"/>
        <w:spacing w:after="0"/>
        <w:rPr>
          <w:rFonts w:asciiTheme="minorHAnsi" w:hAnsiTheme="minorHAnsi" w:eastAsiaTheme="minorEastAsia" w:cstheme="minorBidi"/>
          <w:sz w:val="22"/>
          <w:lang w:val="id-ID"/>
        </w:rPr>
      </w:pPr>
      <w:r>
        <w:fldChar w:fldCharType="begin"/>
      </w:r>
      <w:r>
        <w:instrText xml:space="preserve"> HYPERLINK \l "_Toc236076714" </w:instrText>
      </w:r>
      <w:r>
        <w:fldChar w:fldCharType="separate"/>
      </w:r>
      <w:r>
        <w:rPr>
          <w:rStyle w:val="22"/>
        </w:rPr>
        <w:t>INTISARI</w:t>
      </w:r>
      <w:r>
        <w:tab/>
      </w:r>
      <w:r>
        <w:fldChar w:fldCharType="begin"/>
      </w:r>
      <w:r>
        <w:instrText xml:space="preserve"> PAGEREF _Toc236076714 \h </w:instrText>
      </w:r>
      <w:r>
        <w:fldChar w:fldCharType="separate"/>
      </w:r>
      <w:r>
        <w:t>xiv</w:t>
      </w:r>
      <w:r>
        <w:fldChar w:fldCharType="end"/>
      </w:r>
      <w:r>
        <w:fldChar w:fldCharType="end"/>
      </w:r>
    </w:p>
    <w:p w14:paraId="2329AE65">
      <w:pPr>
        <w:pStyle w:val="27"/>
        <w:spacing w:after="0"/>
        <w:rPr>
          <w:rFonts w:asciiTheme="minorHAnsi" w:hAnsiTheme="minorHAnsi" w:eastAsiaTheme="minorEastAsia" w:cstheme="minorBidi"/>
          <w:sz w:val="22"/>
          <w:lang w:val="id-ID"/>
        </w:rPr>
      </w:pPr>
      <w:r>
        <w:fldChar w:fldCharType="begin"/>
      </w:r>
      <w:r>
        <w:instrText xml:space="preserve"> HYPERLINK \l "_Toc236076715" </w:instrText>
      </w:r>
      <w:r>
        <w:fldChar w:fldCharType="separate"/>
      </w:r>
      <w:r>
        <w:rPr>
          <w:rStyle w:val="22"/>
        </w:rPr>
        <w:t>ABSTRACT</w:t>
      </w:r>
      <w:r>
        <w:tab/>
      </w:r>
      <w:r>
        <w:fldChar w:fldCharType="begin"/>
      </w:r>
      <w:r>
        <w:instrText xml:space="preserve"> PAGEREF _Toc236076715 \h </w:instrText>
      </w:r>
      <w:r>
        <w:fldChar w:fldCharType="separate"/>
      </w:r>
      <w:r>
        <w:t>xv</w:t>
      </w:r>
      <w:r>
        <w:fldChar w:fldCharType="end"/>
      </w:r>
      <w:r>
        <w:fldChar w:fldCharType="end"/>
      </w:r>
      <w:r>
        <w:br w:type="textWrapping"/>
      </w:r>
    </w:p>
    <w:p w14:paraId="11141084">
      <w:pPr>
        <w:pStyle w:val="27"/>
        <w:spacing w:after="0"/>
        <w:rPr>
          <w:rFonts w:asciiTheme="minorHAnsi" w:hAnsiTheme="minorHAnsi" w:eastAsiaTheme="minorEastAsia" w:cstheme="minorBidi"/>
          <w:sz w:val="22"/>
          <w:lang w:val="id-ID"/>
        </w:rPr>
      </w:pPr>
      <w:r>
        <w:fldChar w:fldCharType="begin"/>
      </w:r>
      <w:r>
        <w:instrText xml:space="preserve"> HYPERLINK \l "_Toc236076716" </w:instrText>
      </w:r>
      <w:r>
        <w:fldChar w:fldCharType="separate"/>
      </w:r>
      <w:r>
        <w:rPr>
          <w:rStyle w:val="22"/>
        </w:rPr>
        <w:t>BAB I  PENDAHULUAN</w:t>
      </w:r>
      <w:r>
        <w:tab/>
      </w:r>
      <w:r>
        <w:fldChar w:fldCharType="begin"/>
      </w:r>
      <w:r>
        <w:instrText xml:space="preserve"> PAGEREF _Toc236076716 \h </w:instrText>
      </w:r>
      <w:r>
        <w:fldChar w:fldCharType="separate"/>
      </w:r>
      <w:r>
        <w:t>1</w:t>
      </w:r>
      <w:r>
        <w:fldChar w:fldCharType="end"/>
      </w:r>
      <w:r>
        <w:fldChar w:fldCharType="end"/>
      </w:r>
    </w:p>
    <w:p w14:paraId="49CA57CB">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"_Toc236076717" </w:instrText>
      </w:r>
      <w:r>
        <w:fldChar w:fldCharType="separate"/>
      </w:r>
      <w:r>
        <w:rPr>
          <w:rStyle w:val="22"/>
        </w:rPr>
        <w:t>1.1 Latar Belakang</w:t>
      </w:r>
      <w:r>
        <w:tab/>
      </w:r>
      <w:r>
        <w:fldChar w:fldCharType="begin"/>
      </w:r>
      <w:r>
        <w:instrText xml:space="preserve"> PAGEREF _Toc236076717 \h </w:instrText>
      </w:r>
      <w:r>
        <w:fldChar w:fldCharType="separate"/>
      </w:r>
      <w:r>
        <w:t>1</w:t>
      </w:r>
      <w:r>
        <w:fldChar w:fldCharType="end"/>
      </w:r>
      <w:r>
        <w:fldChar w:fldCharType="end"/>
      </w:r>
    </w:p>
    <w:p w14:paraId="7296D74B">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"_Toc236076718" </w:instrText>
      </w:r>
      <w:r>
        <w:fldChar w:fldCharType="separate"/>
      </w:r>
      <w:r>
        <w:rPr>
          <w:rStyle w:val="22"/>
          <w:shd w:val="clear" w:color="auto" w:fill="FFFFFF"/>
        </w:rPr>
        <w:t>1.2 Rumusan Masalah</w:t>
      </w:r>
      <w:r>
        <w:tab/>
      </w:r>
      <w:r>
        <w:fldChar w:fldCharType="begin"/>
      </w:r>
      <w:r>
        <w:instrText xml:space="preserve"> PAGEREF _Toc236076718 \h </w:instrText>
      </w:r>
      <w:r>
        <w:fldChar w:fldCharType="separate"/>
      </w:r>
      <w:r>
        <w:t>3</w:t>
      </w:r>
      <w:r>
        <w:fldChar w:fldCharType="end"/>
      </w:r>
      <w:r>
        <w:fldChar w:fldCharType="end"/>
      </w:r>
    </w:p>
    <w:p w14:paraId="1FCE3C34">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"_Toc236076719" </w:instrText>
      </w:r>
      <w:r>
        <w:fldChar w:fldCharType="separate"/>
      </w:r>
      <w:r>
        <w:rPr>
          <w:rStyle w:val="22"/>
          <w:shd w:val="clear" w:color="auto" w:fill="FFFFFF"/>
        </w:rPr>
        <w:t>1.3 Batasan Masalah</w:t>
      </w:r>
      <w:r>
        <w:tab/>
      </w:r>
      <w:r>
        <w:fldChar w:fldCharType="begin"/>
      </w:r>
      <w:r>
        <w:instrText xml:space="preserve"> PAGEREF _Toc236076719 \h </w:instrText>
      </w:r>
      <w:r>
        <w:fldChar w:fldCharType="separate"/>
      </w:r>
      <w:r>
        <w:t>3</w:t>
      </w:r>
      <w:r>
        <w:fldChar w:fldCharType="end"/>
      </w:r>
      <w:r>
        <w:fldChar w:fldCharType="end"/>
      </w:r>
    </w:p>
    <w:p w14:paraId="45E8565B">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"_Toc236076720" </w:instrText>
      </w:r>
      <w:r>
        <w:fldChar w:fldCharType="separate"/>
      </w:r>
      <w:r>
        <w:rPr>
          <w:rStyle w:val="22"/>
        </w:rPr>
        <w:t>1.4 Tujuan Penelitian</w:t>
      </w:r>
      <w:r>
        <w:tab/>
      </w:r>
      <w:r>
        <w:fldChar w:fldCharType="begin"/>
      </w:r>
      <w:r>
        <w:instrText xml:space="preserve"> PAGEREF _Toc236076720 \h </w:instrText>
      </w:r>
      <w:r>
        <w:fldChar w:fldCharType="separate"/>
      </w:r>
      <w:r>
        <w:t>4</w:t>
      </w:r>
      <w:r>
        <w:fldChar w:fldCharType="end"/>
      </w:r>
      <w:r>
        <w:fldChar w:fldCharType="end"/>
      </w:r>
    </w:p>
    <w:p w14:paraId="7D45B520">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"_Toc236076721" </w:instrText>
      </w:r>
      <w:r>
        <w:fldChar w:fldCharType="separate"/>
      </w:r>
      <w:r>
        <w:rPr>
          <w:rStyle w:val="22"/>
        </w:rPr>
        <w:t>1.5 Manfaat Penelitian</w:t>
      </w:r>
      <w:r>
        <w:tab/>
      </w:r>
      <w:r>
        <w:fldChar w:fldCharType="begin"/>
      </w:r>
      <w:r>
        <w:instrText xml:space="preserve"> PAGEREF _Toc236076721 \h </w:instrText>
      </w:r>
      <w:r>
        <w:fldChar w:fldCharType="separate"/>
      </w:r>
      <w:r>
        <w:t>5</w:t>
      </w:r>
      <w:r>
        <w:fldChar w:fldCharType="end"/>
      </w:r>
      <w:r>
        <w:fldChar w:fldCharType="end"/>
      </w:r>
    </w:p>
    <w:p w14:paraId="7642852E">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"_Toc236076722" </w:instrText>
      </w:r>
      <w:r>
        <w:fldChar w:fldCharType="separate"/>
      </w:r>
      <w:r>
        <w:rPr>
          <w:rStyle w:val="22"/>
        </w:rPr>
        <w:t>1.6 Sistematika Penulisan</w:t>
      </w:r>
      <w:r>
        <w:tab/>
      </w:r>
      <w:r>
        <w:fldChar w:fldCharType="begin"/>
      </w:r>
      <w:r>
        <w:instrText xml:space="preserve"> PAGEREF _Toc236076722 \h </w:instrText>
      </w:r>
      <w:r>
        <w:fldChar w:fldCharType="separate"/>
      </w:r>
      <w:r>
        <w:t>6</w:t>
      </w:r>
      <w:r>
        <w:fldChar w:fldCharType="end"/>
      </w:r>
      <w:r>
        <w:fldChar w:fldCharType="end"/>
      </w:r>
      <w:r>
        <w:br w:type="textWrapping"/>
      </w:r>
    </w:p>
    <w:p w14:paraId="70FC3FF3">
      <w:pPr>
        <w:pStyle w:val="27"/>
        <w:spacing w:after="0"/>
        <w:rPr>
          <w:rFonts w:asciiTheme="minorHAnsi" w:hAnsiTheme="minorHAnsi" w:eastAsiaTheme="minorEastAsia" w:cstheme="minorBidi"/>
          <w:sz w:val="22"/>
          <w:lang w:val="id-ID"/>
        </w:rPr>
      </w:pPr>
      <w:r>
        <w:fldChar w:fldCharType="begin"/>
      </w:r>
      <w:r>
        <w:instrText xml:space="preserve"> HYPERLINK \l "_Toc236076723" </w:instrText>
      </w:r>
      <w:r>
        <w:fldChar w:fldCharType="separate"/>
      </w:r>
      <w:r>
        <w:rPr>
          <w:rStyle w:val="22"/>
          <w:shd w:val="clear" w:color="auto" w:fill="FFFFFF"/>
        </w:rPr>
        <w:t>BAB II  DASAR TEORI</w:t>
      </w:r>
      <w:r>
        <w:tab/>
      </w:r>
      <w:r>
        <w:fldChar w:fldCharType="begin"/>
      </w:r>
      <w:r>
        <w:instrText xml:space="preserve"> PAGEREF _Toc236076723 \h </w:instrText>
      </w:r>
      <w:r>
        <w:fldChar w:fldCharType="separate"/>
      </w:r>
      <w:r>
        <w:t>7</w:t>
      </w:r>
      <w:r>
        <w:fldChar w:fldCharType="end"/>
      </w:r>
      <w:r>
        <w:fldChar w:fldCharType="end"/>
      </w:r>
    </w:p>
    <w:p w14:paraId="182E526D">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"_Toc236076724" </w:instrText>
      </w:r>
      <w:r>
        <w:fldChar w:fldCharType="separate"/>
      </w:r>
      <w:r>
        <w:rPr>
          <w:rStyle w:val="22"/>
        </w:rPr>
        <w:t>2.1 Tinjauan Pustaka</w:t>
      </w:r>
      <w:r>
        <w:tab/>
      </w:r>
      <w:r>
        <w:fldChar w:fldCharType="begin"/>
      </w:r>
      <w:r>
        <w:instrText xml:space="preserve"> PAGEREF _Toc236076724 \h </w:instrText>
      </w:r>
      <w:r>
        <w:fldChar w:fldCharType="separate"/>
      </w:r>
      <w:r>
        <w:t>7</w:t>
      </w:r>
      <w:r>
        <w:fldChar w:fldCharType="end"/>
      </w:r>
      <w:r>
        <w:fldChar w:fldCharType="end"/>
      </w:r>
    </w:p>
    <w:p w14:paraId="441CF0E5">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"_Toc236076725" </w:instrText>
      </w:r>
      <w:r>
        <w:fldChar w:fldCharType="separate"/>
      </w:r>
      <w:r>
        <w:rPr>
          <w:rStyle w:val="22"/>
        </w:rPr>
        <w:t>2.2 Landasan Teori</w:t>
      </w:r>
      <w:r>
        <w:tab/>
      </w:r>
      <w:r>
        <w:fldChar w:fldCharType="begin"/>
      </w:r>
      <w:r>
        <w:instrText xml:space="preserve"> PAGEREF _Toc236076725 \h </w:instrText>
      </w:r>
      <w:r>
        <w:fldChar w:fldCharType="separate"/>
      </w:r>
      <w:r>
        <w:t>9</w:t>
      </w:r>
      <w:r>
        <w:fldChar w:fldCharType="end"/>
      </w:r>
      <w:r>
        <w:fldChar w:fldCharType="end"/>
      </w:r>
    </w:p>
    <w:p w14:paraId="25525E1B">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"_Toc236076726" </w:instrText>
      </w:r>
      <w:r>
        <w:fldChar w:fldCharType="separate"/>
      </w:r>
      <w:r>
        <w:rPr>
          <w:rStyle w:val="22"/>
        </w:rPr>
        <w:t>2.2.</w:t>
      </w:r>
      <w:r>
        <w:rPr>
          <w:rStyle w:val="22"/>
          <w:lang w:val="en-US"/>
        </w:rPr>
        <w:t xml:space="preserve">1 </w:t>
      </w:r>
      <w:r>
        <w:rPr>
          <w:rStyle w:val="22"/>
          <w:i/>
          <w:iCs/>
        </w:rPr>
        <w:t>Artificial Intelligence</w:t>
      </w:r>
      <w:r>
        <w:rPr>
          <w:rStyle w:val="22"/>
        </w:rPr>
        <w:t xml:space="preserve"> dan Arsitektur </w:t>
      </w:r>
      <w:r>
        <w:rPr>
          <w:rStyle w:val="22"/>
          <w:i/>
          <w:iCs/>
        </w:rPr>
        <w:t>Transformer</w:t>
      </w:r>
      <w:r>
        <w:tab/>
      </w:r>
      <w:r>
        <w:fldChar w:fldCharType="begin"/>
      </w:r>
      <w:r>
        <w:instrText xml:space="preserve"> PAGEREF _Toc236076726 \h </w:instrText>
      </w:r>
      <w:r>
        <w:fldChar w:fldCharType="separate"/>
      </w:r>
      <w:r>
        <w:t>9</w:t>
      </w:r>
      <w:r>
        <w:fldChar w:fldCharType="end"/>
      </w:r>
      <w:r>
        <w:fldChar w:fldCharType="end"/>
      </w:r>
    </w:p>
    <w:p w14:paraId="63F0EE46">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"_Toc236076727" </w:instrText>
      </w:r>
      <w:r>
        <w:fldChar w:fldCharType="separate"/>
      </w:r>
      <w:r>
        <w:rPr>
          <w:rStyle w:val="22"/>
        </w:rPr>
        <w:t>2.2.</w:t>
      </w:r>
      <w:r>
        <w:rPr>
          <w:rStyle w:val="22"/>
          <w:lang w:val="en-US"/>
        </w:rPr>
        <w:t>2</w:t>
      </w:r>
      <w:r>
        <w:rPr>
          <w:rStyle w:val="22"/>
        </w:rPr>
        <w:t xml:space="preserve"> </w:t>
      </w:r>
      <w:r>
        <w:rPr>
          <w:rStyle w:val="22"/>
          <w:shd w:val="clear" w:color="auto" w:fill="FFFFFF"/>
        </w:rPr>
        <w:t>Metaheuristik dan Optimasi</w:t>
      </w:r>
      <w:r>
        <w:tab/>
      </w:r>
      <w:r>
        <w:fldChar w:fldCharType="begin"/>
      </w:r>
      <w:r>
        <w:instrText xml:space="preserve"> PAGEREF _Toc236076727 \h </w:instrText>
      </w:r>
      <w:r>
        <w:fldChar w:fldCharType="separate"/>
      </w:r>
      <w:r>
        <w:t>15</w:t>
      </w:r>
      <w:r>
        <w:fldChar w:fldCharType="end"/>
      </w:r>
      <w:r>
        <w:fldChar w:fldCharType="end"/>
      </w:r>
    </w:p>
    <w:p w14:paraId="2CF1E3AC">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"_Toc236076728" </w:instrText>
      </w:r>
      <w:r>
        <w:fldChar w:fldCharType="separate"/>
      </w:r>
      <w:r>
        <w:rPr>
          <w:rStyle w:val="22"/>
        </w:rPr>
        <w:t>2.2.</w:t>
      </w:r>
      <w:r>
        <w:rPr>
          <w:rStyle w:val="22"/>
          <w:lang w:val="en-US"/>
        </w:rPr>
        <w:t>3</w:t>
      </w:r>
      <w:r>
        <w:rPr>
          <w:rStyle w:val="22"/>
        </w:rPr>
        <w:t xml:space="preserve"> Hyperparameter Optimization</w:t>
      </w:r>
      <w:r>
        <w:tab/>
      </w:r>
      <w:r>
        <w:fldChar w:fldCharType="begin"/>
      </w:r>
      <w:r>
        <w:instrText xml:space="preserve"> PAGEREF _Toc236076728 \h </w:instrText>
      </w:r>
      <w:r>
        <w:fldChar w:fldCharType="separate"/>
      </w:r>
      <w:r>
        <w:t>20</w:t>
      </w:r>
      <w:r>
        <w:fldChar w:fldCharType="end"/>
      </w:r>
      <w:r>
        <w:fldChar w:fldCharType="end"/>
      </w:r>
    </w:p>
    <w:p w14:paraId="56B81B12">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"_Toc236076729" </w:instrText>
      </w:r>
      <w:r>
        <w:fldChar w:fldCharType="separate"/>
      </w:r>
      <w:r>
        <w:rPr>
          <w:rStyle w:val="22"/>
        </w:rPr>
        <w:t>2.2.</w:t>
      </w:r>
      <w:r>
        <w:rPr>
          <w:rStyle w:val="22"/>
          <w:lang w:val="en-US"/>
        </w:rPr>
        <w:t>4</w:t>
      </w:r>
      <w:r>
        <w:rPr>
          <w:rStyle w:val="22"/>
        </w:rPr>
        <w:t xml:space="preserve"> </w:t>
      </w:r>
      <w:r>
        <w:rPr>
          <w:rStyle w:val="22"/>
          <w:i/>
          <w:iCs/>
        </w:rPr>
        <w:t>Multi-Site Learning</w:t>
      </w:r>
      <w:r>
        <w:rPr>
          <w:rStyle w:val="22"/>
        </w:rPr>
        <w:t xml:space="preserve"> dan </w:t>
      </w:r>
      <w:r>
        <w:rPr>
          <w:rStyle w:val="22"/>
          <w:i/>
          <w:iCs/>
        </w:rPr>
        <w:t>Site Embedding</w:t>
      </w:r>
      <w:r>
        <w:tab/>
      </w:r>
      <w:r>
        <w:fldChar w:fldCharType="begin"/>
      </w:r>
      <w:r>
        <w:instrText xml:space="preserve"> PAGEREF _Toc236076729 \h </w:instrText>
      </w:r>
      <w:r>
        <w:fldChar w:fldCharType="separate"/>
      </w:r>
      <w:r>
        <w:t>22</w:t>
      </w:r>
      <w:r>
        <w:fldChar w:fldCharType="end"/>
      </w:r>
      <w:r>
        <w:fldChar w:fldCharType="end"/>
      </w:r>
    </w:p>
    <w:p w14:paraId="6FF3565B">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"_Toc236076730" </w:instrText>
      </w:r>
      <w:r>
        <w:fldChar w:fldCharType="separate"/>
      </w:r>
      <w:r>
        <w:rPr>
          <w:rStyle w:val="22"/>
        </w:rPr>
        <w:t>2.2.</w:t>
      </w:r>
      <w:r>
        <w:rPr>
          <w:rStyle w:val="22"/>
          <w:lang w:val="en-US"/>
        </w:rPr>
        <w:t>5</w:t>
      </w:r>
      <w:r>
        <w:rPr>
          <w:rStyle w:val="22"/>
        </w:rPr>
        <w:t xml:space="preserve"> </w:t>
      </w:r>
      <w:r>
        <w:rPr>
          <w:rStyle w:val="22"/>
          <w:i/>
          <w:iCs/>
        </w:rPr>
        <w:t>Transfer Learning</w:t>
      </w:r>
      <w:r>
        <w:tab/>
      </w:r>
      <w:r>
        <w:fldChar w:fldCharType="begin"/>
      </w:r>
      <w:r>
        <w:instrText xml:space="preserve"> PAGEREF _Toc236076730 \h </w:instrText>
      </w:r>
      <w:r>
        <w:fldChar w:fldCharType="separate"/>
      </w:r>
      <w:r>
        <w:t>23</w:t>
      </w:r>
      <w:r>
        <w:fldChar w:fldCharType="end"/>
      </w:r>
      <w:r>
        <w:fldChar w:fldCharType="end"/>
      </w:r>
    </w:p>
    <w:p w14:paraId="6544D293">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"_Toc236076731" </w:instrText>
      </w:r>
      <w:r>
        <w:fldChar w:fldCharType="separate"/>
      </w:r>
      <w:r>
        <w:rPr>
          <w:rStyle w:val="22"/>
        </w:rPr>
        <w:t>2.2.</w:t>
      </w:r>
      <w:r>
        <w:rPr>
          <w:rStyle w:val="22"/>
          <w:lang w:val="en-US"/>
        </w:rPr>
        <w:t>6</w:t>
      </w:r>
      <w:r>
        <w:rPr>
          <w:rStyle w:val="22"/>
        </w:rPr>
        <w:t xml:space="preserve"> Curah Hujan Dasarian dan Dinamika Iklim Indonesia</w:t>
      </w:r>
      <w:r>
        <w:tab/>
      </w:r>
      <w:r>
        <w:fldChar w:fldCharType="begin"/>
      </w:r>
      <w:r>
        <w:instrText xml:space="preserve"> PAGEREF _Toc236076731 \h </w:instrText>
      </w:r>
      <w:r>
        <w:fldChar w:fldCharType="separate"/>
      </w:r>
      <w:r>
        <w:t>25</w:t>
      </w:r>
      <w:r>
        <w:fldChar w:fldCharType="end"/>
      </w:r>
      <w:r>
        <w:fldChar w:fldCharType="end"/>
      </w:r>
    </w:p>
    <w:p w14:paraId="1C4F3270">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"_Toc236076732" </w:instrText>
      </w:r>
      <w:r>
        <w:fldChar w:fldCharType="separate"/>
      </w:r>
      <w:r>
        <w:rPr>
          <w:rStyle w:val="22"/>
        </w:rPr>
        <w:t xml:space="preserve">2.2.7 </w:t>
      </w:r>
      <w:r>
        <w:rPr>
          <w:rStyle w:val="22"/>
          <w:lang w:val="en-US"/>
        </w:rPr>
        <w:t xml:space="preserve">Metrik </w:t>
      </w:r>
      <w:r>
        <w:rPr>
          <w:rStyle w:val="22"/>
        </w:rPr>
        <w:t xml:space="preserve">Fungsi </w:t>
      </w:r>
      <w:r>
        <w:rPr>
          <w:rStyle w:val="22"/>
          <w:i/>
        </w:rPr>
        <w:t>Benchmark</w:t>
      </w:r>
      <w:r>
        <w:rPr>
          <w:rStyle w:val="22"/>
        </w:rPr>
        <w:t xml:space="preserve"> untuk Evaluasi Algoritma</w:t>
      </w:r>
      <w:r>
        <w:tab/>
      </w:r>
      <w:r>
        <w:fldChar w:fldCharType="begin"/>
      </w:r>
      <w:r>
        <w:instrText xml:space="preserve"> PAGEREF _Toc236076732 \h </w:instrText>
      </w:r>
      <w:r>
        <w:fldChar w:fldCharType="separate"/>
      </w:r>
      <w:r>
        <w:t>29</w:t>
      </w:r>
      <w:r>
        <w:fldChar w:fldCharType="end"/>
      </w:r>
      <w:r>
        <w:fldChar w:fldCharType="end"/>
      </w:r>
    </w:p>
    <w:p w14:paraId="254EAEC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"_Toc236076733" </w:instrText>
      </w:r>
      <w:r>
        <w:fldChar w:fldCharType="separate"/>
      </w:r>
      <w:r>
        <w:rPr>
          <w:rStyle w:val="22"/>
        </w:rPr>
        <w:t>2.2.</w:t>
      </w:r>
      <w:r>
        <w:rPr>
          <w:rStyle w:val="22"/>
          <w:lang w:val="en-US"/>
        </w:rPr>
        <w:t>8</w:t>
      </w:r>
      <w:r>
        <w:rPr>
          <w:rStyle w:val="22"/>
        </w:rPr>
        <w:t xml:space="preserve"> Metrik Evaluasi, </w:t>
      </w:r>
      <w:r>
        <w:rPr>
          <w:rStyle w:val="22"/>
          <w:i/>
        </w:rPr>
        <w:t>Robustness</w:t>
      </w:r>
      <w:r>
        <w:rPr>
          <w:rStyle w:val="22"/>
        </w:rPr>
        <w:t xml:space="preserve"> dan Efisiensi Komputasi</w:t>
      </w:r>
      <w:r>
        <w:rPr>
          <w:rStyle w:val="22"/>
          <w:lang w:val="en-US"/>
        </w:rPr>
        <w:t>.</w:t>
      </w:r>
      <w:r>
        <w:tab/>
      </w:r>
      <w:r>
        <w:fldChar w:fldCharType="begin"/>
      </w:r>
      <w:r>
        <w:instrText xml:space="preserve"> PAGEREF _Toc236076733 \h </w:instrText>
      </w:r>
      <w:r>
        <w:fldChar w:fldCharType="separate"/>
      </w:r>
      <w:r>
        <w:t>31</w:t>
      </w:r>
      <w:r>
        <w:fldChar w:fldCharType="end"/>
      </w:r>
      <w:r>
        <w:fldChar w:fldCharType="end"/>
      </w:r>
      <w:r>
        <w:br w:type="textWrapping"/>
      </w:r>
    </w:p>
    <w:p w14:paraId="5693FC0E">
      <w:pPr>
        <w:pStyle w:val="27"/>
        <w:spacing w:after="0"/>
        <w:rPr>
          <w:rFonts w:asciiTheme="minorHAnsi" w:hAnsiTheme="minorHAnsi" w:eastAsiaTheme="minorEastAsia" w:cstheme="minorBidi"/>
          <w:sz w:val="22"/>
          <w:lang w:val="id-ID"/>
        </w:rPr>
      </w:pPr>
      <w:r>
        <w:fldChar w:fldCharType="begin"/>
      </w:r>
      <w:r>
        <w:instrText xml:space="preserve"> HYPERLINK \l "_Toc236076734" </w:instrText>
      </w:r>
      <w:r>
        <w:fldChar w:fldCharType="separate"/>
      </w:r>
      <w:r>
        <w:rPr>
          <w:rStyle w:val="22"/>
        </w:rPr>
        <w:t>BAB III  PERANCANGAN SISTEM</w:t>
      </w:r>
      <w:r>
        <w:tab/>
      </w:r>
      <w:r>
        <w:fldChar w:fldCharType="begin"/>
      </w:r>
      <w:r>
        <w:instrText xml:space="preserve"> PAGEREF _Toc236076734 \h </w:instrText>
      </w:r>
      <w:r>
        <w:fldChar w:fldCharType="separate"/>
      </w:r>
      <w:r>
        <w:t>35</w:t>
      </w:r>
      <w:r>
        <w:fldChar w:fldCharType="end"/>
      </w:r>
      <w:r>
        <w:fldChar w:fldCharType="end"/>
      </w:r>
    </w:p>
    <w:p w14:paraId="06399748">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"_Toc236076735" </w:instrText>
      </w:r>
      <w:r>
        <w:fldChar w:fldCharType="separate"/>
      </w:r>
      <w:r>
        <w:rPr>
          <w:rStyle w:val="22"/>
        </w:rPr>
        <w:t>3.1 Gambaran Umum Sistem</w:t>
      </w:r>
      <w:r>
        <w:tab/>
      </w:r>
      <w:r>
        <w:fldChar w:fldCharType="begin"/>
      </w:r>
      <w:r>
        <w:instrText xml:space="preserve"> PAGEREF _Toc236076735 \h </w:instrText>
      </w:r>
      <w:r>
        <w:fldChar w:fldCharType="separate"/>
      </w:r>
      <w:r>
        <w:t>35</w:t>
      </w:r>
      <w:r>
        <w:fldChar w:fldCharType="end"/>
      </w:r>
      <w:r>
        <w:fldChar w:fldCharType="end"/>
      </w:r>
    </w:p>
    <w:p w14:paraId="6A6D51BC">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"_Toc236076736" </w:instrText>
      </w:r>
      <w:r>
        <w:fldChar w:fldCharType="separate"/>
      </w:r>
      <w:r>
        <w:rPr>
          <w:rStyle w:val="22"/>
        </w:rPr>
        <w:t>3.2 Lingkungan Pengembangan</w:t>
      </w:r>
      <w:r>
        <w:tab/>
      </w:r>
      <w:r>
        <w:fldChar w:fldCharType="begin"/>
      </w:r>
      <w:r>
        <w:instrText xml:space="preserve"> PAGEREF _Toc236076736 \h </w:instrText>
      </w:r>
      <w:r>
        <w:fldChar w:fldCharType="separate"/>
      </w:r>
      <w:r>
        <w:t>36</w:t>
      </w:r>
      <w:r>
        <w:fldChar w:fldCharType="end"/>
      </w:r>
      <w:r>
        <w:fldChar w:fldCharType="end"/>
      </w:r>
    </w:p>
    <w:p w14:paraId="7EE59C6B">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"_Toc236076737" </w:instrText>
      </w:r>
      <w:r>
        <w:fldChar w:fldCharType="separate"/>
      </w:r>
      <w:r>
        <w:rPr>
          <w:rStyle w:val="22"/>
        </w:rPr>
        <w:t>3.2.1 Perangkat Penelitian</w:t>
      </w:r>
      <w:r>
        <w:tab/>
      </w:r>
      <w:r>
        <w:fldChar w:fldCharType="begin"/>
      </w:r>
      <w:r>
        <w:instrText xml:space="preserve"> PAGEREF _Toc236076737 \h </w:instrText>
      </w:r>
      <w:r>
        <w:fldChar w:fldCharType="separate"/>
      </w:r>
      <w:r>
        <w:t>36</w:t>
      </w:r>
      <w:r>
        <w:fldChar w:fldCharType="end"/>
      </w:r>
      <w:r>
        <w:fldChar w:fldCharType="end"/>
      </w:r>
    </w:p>
    <w:p w14:paraId="49AEB021">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"_Toc236076738" </w:instrText>
      </w:r>
      <w:r>
        <w:fldChar w:fldCharType="separate"/>
      </w:r>
      <w:r>
        <w:rPr>
          <w:rStyle w:val="22"/>
          <w:lang w:val="en-US"/>
        </w:rPr>
        <w:t xml:space="preserve">3.3.2 </w:t>
      </w:r>
      <w:r>
        <w:rPr>
          <w:rStyle w:val="22"/>
        </w:rPr>
        <w:t>Lokasi</w:t>
      </w:r>
      <w:r>
        <w:rPr>
          <w:rStyle w:val="22"/>
          <w:lang w:val="en-US"/>
        </w:rPr>
        <w:t xml:space="preserve"> Penelitian</w:t>
      </w:r>
      <w:r>
        <w:tab/>
      </w:r>
      <w:r>
        <w:fldChar w:fldCharType="begin"/>
      </w:r>
      <w:r>
        <w:instrText xml:space="preserve"> PAGEREF _Toc236076738 \h </w:instrText>
      </w:r>
      <w:r>
        <w:fldChar w:fldCharType="separate"/>
      </w:r>
      <w:r>
        <w:t>37</w:t>
      </w:r>
      <w:r>
        <w:fldChar w:fldCharType="end"/>
      </w:r>
      <w:r>
        <w:fldChar w:fldCharType="end"/>
      </w:r>
    </w:p>
    <w:p w14:paraId="4DA7B42F">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"_Toc236076739" </w:instrText>
      </w:r>
      <w:r>
        <w:fldChar w:fldCharType="separate"/>
      </w:r>
      <w:r>
        <w:rPr>
          <w:rStyle w:val="22"/>
        </w:rPr>
        <w:t>3.2.3 Sumber Data</w:t>
      </w:r>
      <w:r>
        <w:tab/>
      </w:r>
      <w:r>
        <w:fldChar w:fldCharType="begin"/>
      </w:r>
      <w:r>
        <w:instrText xml:space="preserve"> PAGEREF _Toc236076739 \h </w:instrText>
      </w:r>
      <w:r>
        <w:fldChar w:fldCharType="separate"/>
      </w:r>
      <w:r>
        <w:t>40</w:t>
      </w:r>
      <w:r>
        <w:fldChar w:fldCharType="end"/>
      </w:r>
      <w:r>
        <w:fldChar w:fldCharType="end"/>
      </w:r>
    </w:p>
    <w:p w14:paraId="35B852E1">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"_Toc236076740" </w:instrText>
      </w:r>
      <w:r>
        <w:fldChar w:fldCharType="separate"/>
      </w:r>
      <w:r>
        <w:rPr>
          <w:rStyle w:val="22"/>
        </w:rPr>
        <w:t>3.3 Komponen Utama Penelitian</w:t>
      </w:r>
      <w:r>
        <w:tab/>
      </w:r>
      <w:r>
        <w:fldChar w:fldCharType="begin"/>
      </w:r>
      <w:r>
        <w:instrText xml:space="preserve"> PAGEREF _Toc236076740 \h </w:instrText>
      </w:r>
      <w:r>
        <w:fldChar w:fldCharType="separate"/>
      </w:r>
      <w:r>
        <w:t>42</w:t>
      </w:r>
      <w:r>
        <w:fldChar w:fldCharType="end"/>
      </w:r>
      <w:r>
        <w:fldChar w:fldCharType="end"/>
      </w:r>
    </w:p>
    <w:p w14:paraId="7B50597A">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"_Toc236076741" </w:instrText>
      </w:r>
      <w:r>
        <w:fldChar w:fldCharType="separate"/>
      </w:r>
      <w:r>
        <w:rPr>
          <w:rStyle w:val="22"/>
        </w:rPr>
        <w:t xml:space="preserve">3.3.1 Modul </w:t>
      </w:r>
      <w:r>
        <w:rPr>
          <w:rStyle w:val="22"/>
          <w:i/>
        </w:rPr>
        <w:t>Preprocessing</w:t>
      </w:r>
      <w:r>
        <w:rPr>
          <w:rStyle w:val="22"/>
        </w:rPr>
        <w:t xml:space="preserve"> Data</w:t>
      </w:r>
      <w:r>
        <w:tab/>
      </w:r>
      <w:r>
        <w:fldChar w:fldCharType="begin"/>
      </w:r>
      <w:r>
        <w:instrText xml:space="preserve"> PAGEREF _Toc236076741 \h </w:instrText>
      </w:r>
      <w:r>
        <w:fldChar w:fldCharType="separate"/>
      </w:r>
      <w:r>
        <w:t>42</w:t>
      </w:r>
      <w:r>
        <w:fldChar w:fldCharType="end"/>
      </w:r>
      <w:r>
        <w:fldChar w:fldCharType="end"/>
      </w:r>
    </w:p>
    <w:p w14:paraId="5485920F">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"_Toc236076742" </w:instrText>
      </w:r>
      <w:r>
        <w:fldChar w:fldCharType="separate"/>
      </w:r>
      <w:r>
        <w:rPr>
          <w:rStyle w:val="22"/>
        </w:rPr>
        <w:t xml:space="preserve">3.3.2 Modul Model </w:t>
      </w:r>
      <w:r>
        <w:rPr>
          <w:rStyle w:val="22"/>
          <w:i/>
        </w:rPr>
        <w:t>Transformer</w:t>
      </w:r>
      <w:r>
        <w:tab/>
      </w:r>
      <w:r>
        <w:fldChar w:fldCharType="begin"/>
      </w:r>
      <w:r>
        <w:instrText xml:space="preserve"> PAGEREF _Toc236076742 \h </w:instrText>
      </w:r>
      <w:r>
        <w:fldChar w:fldCharType="separate"/>
      </w:r>
      <w:r>
        <w:t>48</w:t>
      </w:r>
      <w:r>
        <w:fldChar w:fldCharType="end"/>
      </w:r>
      <w:r>
        <w:fldChar w:fldCharType="end"/>
      </w:r>
    </w:p>
    <w:p w14:paraId="2341234A">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"_Toc236076743" </w:instrText>
      </w:r>
      <w:r>
        <w:fldChar w:fldCharType="separate"/>
      </w:r>
      <w:r>
        <w:rPr>
          <w:rStyle w:val="22"/>
        </w:rPr>
        <w:t>3.3.3 Modul Algoritma IFPOA-X</w:t>
      </w:r>
      <w:r>
        <w:rPr>
          <w:rStyle w:val="22"/>
          <w:lang w:val="en-US"/>
        </w:rPr>
        <w:t xml:space="preserve"> dan Komparasi dengan FPA</w:t>
      </w:r>
      <w:r>
        <w:tab/>
      </w:r>
      <w:r>
        <w:fldChar w:fldCharType="begin"/>
      </w:r>
      <w:r>
        <w:instrText xml:space="preserve"> PAGEREF _Toc236076743 \h </w:instrText>
      </w:r>
      <w:r>
        <w:fldChar w:fldCharType="separate"/>
      </w:r>
      <w:r>
        <w:t>53</w:t>
      </w:r>
      <w:r>
        <w:fldChar w:fldCharType="end"/>
      </w:r>
      <w:r>
        <w:fldChar w:fldCharType="end"/>
      </w:r>
    </w:p>
    <w:p w14:paraId="14F39F8F">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"_Toc236076744" </w:instrText>
      </w:r>
      <w:r>
        <w:fldChar w:fldCharType="separate"/>
      </w:r>
      <w:r>
        <w:rPr>
          <w:rStyle w:val="22"/>
        </w:rPr>
        <w:t xml:space="preserve">3.3.4 Modul </w:t>
      </w:r>
      <w:r>
        <w:rPr>
          <w:rStyle w:val="22"/>
          <w:i/>
        </w:rPr>
        <w:t>Hyperparameter Optimization</w:t>
      </w:r>
      <w:r>
        <w:tab/>
      </w:r>
      <w:r>
        <w:fldChar w:fldCharType="begin"/>
      </w:r>
      <w:r>
        <w:instrText xml:space="preserve"> PAGEREF _Toc236076744 \h </w:instrText>
      </w:r>
      <w:r>
        <w:fldChar w:fldCharType="separate"/>
      </w:r>
      <w:r>
        <w:t>58</w:t>
      </w:r>
      <w:r>
        <w:fldChar w:fldCharType="end"/>
      </w:r>
      <w:r>
        <w:fldChar w:fldCharType="end"/>
      </w:r>
    </w:p>
    <w:p w14:paraId="613CE3F9">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"_Toc236076745" </w:instrText>
      </w:r>
      <w:r>
        <w:fldChar w:fldCharType="separate"/>
      </w:r>
      <w:r>
        <w:rPr>
          <w:rStyle w:val="22"/>
        </w:rPr>
        <w:t xml:space="preserve">3.3.5 Modul </w:t>
      </w:r>
      <w:r>
        <w:rPr>
          <w:rStyle w:val="22"/>
          <w:i/>
        </w:rPr>
        <w:t>Training</w:t>
      </w:r>
      <w:r>
        <w:rPr>
          <w:rStyle w:val="22"/>
        </w:rPr>
        <w:t xml:space="preserve"> dan Evaluasi</w:t>
      </w:r>
      <w:r>
        <w:tab/>
      </w:r>
      <w:r>
        <w:fldChar w:fldCharType="begin"/>
      </w:r>
      <w:r>
        <w:instrText xml:space="preserve"> PAGEREF _Toc236076745 \h </w:instrText>
      </w:r>
      <w:r>
        <w:fldChar w:fldCharType="separate"/>
      </w:r>
      <w:r>
        <w:t>61</w:t>
      </w:r>
      <w:r>
        <w:fldChar w:fldCharType="end"/>
      </w:r>
      <w:r>
        <w:fldChar w:fldCharType="end"/>
      </w:r>
    </w:p>
    <w:p w14:paraId="7802BC0B">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"_Toc236076746" </w:instrText>
      </w:r>
      <w:r>
        <w:fldChar w:fldCharType="separate"/>
      </w:r>
      <w:r>
        <w:rPr>
          <w:rStyle w:val="22"/>
        </w:rPr>
        <w:t xml:space="preserve">3.3.6 Modul </w:t>
      </w:r>
      <w:r>
        <w:rPr>
          <w:rStyle w:val="22"/>
          <w:i/>
        </w:rPr>
        <w:t>Transfer Learning</w:t>
      </w:r>
      <w:r>
        <w:tab/>
      </w:r>
      <w:r>
        <w:fldChar w:fldCharType="begin"/>
      </w:r>
      <w:r>
        <w:instrText xml:space="preserve"> PAGEREF _Toc236076746 \h </w:instrText>
      </w:r>
      <w:r>
        <w:fldChar w:fldCharType="separate"/>
      </w:r>
      <w:r>
        <w:t>62</w:t>
      </w:r>
      <w:r>
        <w:fldChar w:fldCharType="end"/>
      </w:r>
      <w:r>
        <w:fldChar w:fldCharType="end"/>
      </w:r>
    </w:p>
    <w:p w14:paraId="1BF4E41D">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"_Toc236076747" </w:instrText>
      </w:r>
      <w:r>
        <w:fldChar w:fldCharType="separate"/>
      </w:r>
      <w:r>
        <w:rPr>
          <w:rStyle w:val="22"/>
        </w:rPr>
        <w:t>3.3.7 Modul Visualisasi</w:t>
      </w:r>
      <w:r>
        <w:tab/>
      </w:r>
      <w:r>
        <w:fldChar w:fldCharType="begin"/>
      </w:r>
      <w:r>
        <w:instrText xml:space="preserve"> PAGEREF _Toc236076747 \h </w:instrText>
      </w:r>
      <w:r>
        <w:fldChar w:fldCharType="separate"/>
      </w:r>
      <w:r>
        <w:t>64</w:t>
      </w:r>
      <w:r>
        <w:fldChar w:fldCharType="end"/>
      </w:r>
      <w:r>
        <w:fldChar w:fldCharType="end"/>
      </w:r>
    </w:p>
    <w:p w14:paraId="1CDFF897">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"_Toc236076748" </w:instrText>
      </w:r>
      <w:r>
        <w:fldChar w:fldCharType="separate"/>
      </w:r>
      <w:r>
        <w:rPr>
          <w:rStyle w:val="22"/>
        </w:rPr>
        <w:t>3.4 Alur Kerja Penelitian</w:t>
      </w:r>
      <w:r>
        <w:tab/>
      </w:r>
      <w:r>
        <w:fldChar w:fldCharType="begin"/>
      </w:r>
      <w:r>
        <w:instrText xml:space="preserve"> PAGEREF _Toc236076748 \h </w:instrText>
      </w:r>
      <w:r>
        <w:fldChar w:fldCharType="separate"/>
      </w:r>
      <w:r>
        <w:t>65</w:t>
      </w:r>
      <w:r>
        <w:fldChar w:fldCharType="end"/>
      </w:r>
      <w:r>
        <w:fldChar w:fldCharType="end"/>
      </w:r>
      <w:r>
        <w:br w:type="textWrapping"/>
      </w:r>
    </w:p>
    <w:p w14:paraId="57507A57">
      <w:pPr>
        <w:pStyle w:val="27"/>
        <w:spacing w:after="0"/>
        <w:rPr>
          <w:rFonts w:asciiTheme="minorHAnsi" w:hAnsiTheme="minorHAnsi" w:eastAsiaTheme="minorEastAsia" w:cstheme="minorBidi"/>
          <w:sz w:val="22"/>
          <w:lang w:val="id-ID"/>
        </w:rPr>
      </w:pPr>
      <w:r>
        <w:fldChar w:fldCharType="begin"/>
      </w:r>
      <w:r>
        <w:instrText xml:space="preserve"> HYPERLINK \l "_Toc236076749" </w:instrText>
      </w:r>
      <w:r>
        <w:fldChar w:fldCharType="separate"/>
      </w:r>
      <w:r>
        <w:rPr>
          <w:rStyle w:val="22"/>
        </w:rPr>
        <w:t>BAB IV  HASIL DAN PEMBAHASAN</w:t>
      </w:r>
      <w:r>
        <w:tab/>
      </w:r>
      <w:r>
        <w:fldChar w:fldCharType="begin"/>
      </w:r>
      <w:r>
        <w:instrText xml:space="preserve"> PAGEREF _Toc236076749 \h </w:instrText>
      </w:r>
      <w:r>
        <w:fldChar w:fldCharType="separate"/>
      </w:r>
      <w:r>
        <w:t>66</w:t>
      </w:r>
      <w:r>
        <w:fldChar w:fldCharType="end"/>
      </w:r>
      <w:r>
        <w:fldChar w:fldCharType="end"/>
      </w:r>
    </w:p>
    <w:p w14:paraId="4572525E">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"_Toc236076750" </w:instrText>
      </w:r>
      <w:r>
        <w:fldChar w:fldCharType="separate"/>
      </w:r>
      <w:r>
        <w:rPr>
          <w:rStyle w:val="22"/>
        </w:rPr>
        <w:t>4.1 Validasi dan Evaluasi Kinerja Algoritma IFPOA-X</w:t>
      </w:r>
      <w:r>
        <w:tab/>
      </w:r>
      <w:r>
        <w:fldChar w:fldCharType="begin"/>
      </w:r>
      <w:r>
        <w:instrText xml:space="preserve"> PAGEREF _Toc236076750 \h </w:instrText>
      </w:r>
      <w:r>
        <w:fldChar w:fldCharType="separate"/>
      </w:r>
      <w:r>
        <w:t>66</w:t>
      </w:r>
      <w:r>
        <w:fldChar w:fldCharType="end"/>
      </w:r>
      <w:r>
        <w:fldChar w:fldCharType="end"/>
      </w:r>
    </w:p>
    <w:p w14:paraId="4DCEB62A">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"_Toc236076751" </w:instrText>
      </w:r>
      <w:r>
        <w:fldChar w:fldCharType="separate"/>
      </w:r>
      <w:r>
        <w:rPr>
          <w:rStyle w:val="22"/>
        </w:rPr>
        <w:t>4.1.</w:t>
      </w:r>
      <w:r>
        <w:rPr>
          <w:rStyle w:val="22"/>
          <w:lang w:val="en-US"/>
        </w:rPr>
        <w:t>1</w:t>
      </w:r>
      <w:r>
        <w:rPr>
          <w:rStyle w:val="22"/>
        </w:rPr>
        <w:t xml:space="preserve"> Analisis Hasil Uji pada Fungsi Multimodal (</w:t>
      </w:r>
      <w:r>
        <w:rPr>
          <w:rStyle w:val="22"/>
          <w:i/>
          <w:iCs/>
        </w:rPr>
        <w:t xml:space="preserve">Ackley </w:t>
      </w:r>
      <w:r>
        <w:rPr>
          <w:rStyle w:val="22"/>
        </w:rPr>
        <w:t xml:space="preserve">dan </w:t>
      </w:r>
      <w:r>
        <w:rPr>
          <w:rStyle w:val="22"/>
          <w:i/>
          <w:iCs/>
        </w:rPr>
        <w:t>Rastrigin</w:t>
      </w:r>
      <w:r>
        <w:rPr>
          <w:rStyle w:val="22"/>
        </w:rPr>
        <w:t>)</w:t>
      </w:r>
      <w:r>
        <w:tab/>
      </w:r>
      <w:r>
        <w:fldChar w:fldCharType="begin"/>
      </w:r>
      <w:r>
        <w:instrText xml:space="preserve"> PAGEREF _Toc236076751 \h </w:instrText>
      </w:r>
      <w:r>
        <w:fldChar w:fldCharType="separate"/>
      </w:r>
      <w:r>
        <w:t>67</w:t>
      </w:r>
      <w:r>
        <w:fldChar w:fldCharType="end"/>
      </w:r>
      <w:r>
        <w:fldChar w:fldCharType="end"/>
      </w:r>
    </w:p>
    <w:p w14:paraId="0E2F572E">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"_Toc236076752" </w:instrText>
      </w:r>
      <w:r>
        <w:fldChar w:fldCharType="separate"/>
      </w:r>
      <w:r>
        <w:rPr>
          <w:rStyle w:val="22"/>
        </w:rPr>
        <w:t>4.1.</w:t>
      </w:r>
      <w:r>
        <w:rPr>
          <w:rStyle w:val="22"/>
          <w:lang w:val="en-US"/>
        </w:rPr>
        <w:t>2</w:t>
      </w:r>
      <w:r>
        <w:rPr>
          <w:rStyle w:val="22"/>
        </w:rPr>
        <w:t xml:space="preserve"> Analisis Hasil Uji pada Fungsi Unimodal (</w:t>
      </w:r>
      <w:r>
        <w:rPr>
          <w:rStyle w:val="22"/>
          <w:i/>
          <w:iCs/>
        </w:rPr>
        <w:t>Rosenbrock</w:t>
      </w:r>
      <w:r>
        <w:rPr>
          <w:rStyle w:val="22"/>
        </w:rPr>
        <w:t>)</w:t>
      </w:r>
      <w:r>
        <w:tab/>
      </w:r>
      <w:r>
        <w:fldChar w:fldCharType="begin"/>
      </w:r>
      <w:r>
        <w:instrText xml:space="preserve"> PAGEREF _Toc236076752 \h </w:instrText>
      </w:r>
      <w:r>
        <w:fldChar w:fldCharType="separate"/>
      </w:r>
      <w:r>
        <w:t>69</w:t>
      </w:r>
      <w:r>
        <w:fldChar w:fldCharType="end"/>
      </w:r>
      <w:r>
        <w:fldChar w:fldCharType="end"/>
      </w:r>
    </w:p>
    <w:p w14:paraId="4930451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"_Toc236076753" </w:instrText>
      </w:r>
      <w:r>
        <w:fldChar w:fldCharType="separate"/>
      </w:r>
      <w:r>
        <w:rPr>
          <w:rStyle w:val="22"/>
        </w:rPr>
        <w:t>4.1.3 Analisis Statistik dan Konvergensi Algoritma</w:t>
      </w:r>
      <w:r>
        <w:tab/>
      </w:r>
      <w:r>
        <w:fldChar w:fldCharType="begin"/>
      </w:r>
      <w:r>
        <w:instrText xml:space="preserve"> PAGEREF _Toc236076753 \h </w:instrText>
      </w:r>
      <w:r>
        <w:fldChar w:fldCharType="separate"/>
      </w:r>
      <w:r>
        <w:t>71</w:t>
      </w:r>
      <w:r>
        <w:fldChar w:fldCharType="end"/>
      </w:r>
      <w:r>
        <w:fldChar w:fldCharType="end"/>
      </w:r>
    </w:p>
    <w:p w14:paraId="5BD78B33">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"_Toc236076754" </w:instrText>
      </w:r>
      <w:r>
        <w:fldChar w:fldCharType="separate"/>
      </w:r>
      <w:r>
        <w:rPr>
          <w:rStyle w:val="22"/>
        </w:rPr>
        <w:t>4.1.4 Analisis Ablasi Mekanisme IFPOA-X</w:t>
      </w:r>
      <w:r>
        <w:tab/>
      </w:r>
      <w:r>
        <w:fldChar w:fldCharType="begin"/>
      </w:r>
      <w:r>
        <w:instrText xml:space="preserve"> PAGEREF _Toc236076754 \h </w:instrText>
      </w:r>
      <w:r>
        <w:fldChar w:fldCharType="separate"/>
      </w:r>
      <w:r>
        <w:t>74</w:t>
      </w:r>
      <w:r>
        <w:fldChar w:fldCharType="end"/>
      </w:r>
      <w:r>
        <w:fldChar w:fldCharType="end"/>
      </w:r>
    </w:p>
    <w:p w14:paraId="7704096D">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"_Toc236076755" </w:instrText>
      </w:r>
      <w:r>
        <w:fldChar w:fldCharType="separate"/>
      </w:r>
      <w:r>
        <w:rPr>
          <w:rStyle w:val="22"/>
        </w:rPr>
        <w:t>4.2 Karakteristik Dataset</w:t>
      </w:r>
      <w:r>
        <w:tab/>
      </w:r>
      <w:r>
        <w:fldChar w:fldCharType="begin"/>
      </w:r>
      <w:r>
        <w:instrText xml:space="preserve"> PAGEREF _Toc236076755 \h </w:instrText>
      </w:r>
      <w:r>
        <w:fldChar w:fldCharType="separate"/>
      </w:r>
      <w:r>
        <w:t>78</w:t>
      </w:r>
      <w:r>
        <w:fldChar w:fldCharType="end"/>
      </w:r>
      <w:r>
        <w:fldChar w:fldCharType="end"/>
      </w:r>
    </w:p>
    <w:p w14:paraId="70EA9BFF">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"_Toc236076756" </w:instrText>
      </w:r>
      <w:r>
        <w:fldChar w:fldCharType="separate"/>
      </w:r>
      <w:r>
        <w:rPr>
          <w:rStyle w:val="22"/>
          <w:rFonts w:cs="Times New Roman"/>
          <w:bCs/>
        </w:rPr>
        <w:t>4.3 Hasil HPO Model</w:t>
      </w:r>
      <w:r>
        <w:tab/>
      </w:r>
      <w:r>
        <w:fldChar w:fldCharType="begin"/>
      </w:r>
      <w:r>
        <w:instrText xml:space="preserve"> PAGEREF _Toc236076756 \h </w:instrText>
      </w:r>
      <w:r>
        <w:fldChar w:fldCharType="separate"/>
      </w:r>
      <w:r>
        <w:t>82</w:t>
      </w:r>
      <w:r>
        <w:fldChar w:fldCharType="end"/>
      </w:r>
      <w:r>
        <w:fldChar w:fldCharType="end"/>
      </w:r>
    </w:p>
    <w:p w14:paraId="736F7A26">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"_Toc236076757" </w:instrText>
      </w:r>
      <w:r>
        <w:fldChar w:fldCharType="separate"/>
      </w:r>
      <w:r>
        <w:rPr>
          <w:rStyle w:val="22"/>
        </w:rPr>
        <w:t>4.3.1 Ringkasan Hasil Matriks HPO × Model</w:t>
      </w:r>
      <w:r>
        <w:tab/>
      </w:r>
      <w:r>
        <w:fldChar w:fldCharType="begin"/>
      </w:r>
      <w:r>
        <w:instrText xml:space="preserve"> PAGEREF _Toc236076757 \h </w:instrText>
      </w:r>
      <w:r>
        <w:fldChar w:fldCharType="separate"/>
      </w:r>
      <w:r>
        <w:t>82</w:t>
      </w:r>
      <w:r>
        <w:fldChar w:fldCharType="end"/>
      </w:r>
      <w:r>
        <w:fldChar w:fldCharType="end"/>
      </w:r>
    </w:p>
    <w:p w14:paraId="16ADEF0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"_Toc236076758" </w:instrText>
      </w:r>
      <w:r>
        <w:fldChar w:fldCharType="separate"/>
      </w:r>
      <w:r>
        <w:rPr>
          <w:rStyle w:val="22"/>
          <w:bCs/>
        </w:rPr>
        <w:t xml:space="preserve">4.3.2 Analisis </w:t>
      </w:r>
      <w:r>
        <w:rPr>
          <w:rStyle w:val="22"/>
          <w:bCs/>
          <w:i/>
          <w:iCs/>
        </w:rPr>
        <w:t>Trade-off</w:t>
      </w:r>
      <w:r>
        <w:rPr>
          <w:rStyle w:val="22"/>
          <w:bCs/>
        </w:rPr>
        <w:t xml:space="preserve"> Akurasi, Ketahanan, dan Efisiensi</w:t>
      </w:r>
      <w:r>
        <w:tab/>
      </w:r>
      <w:r>
        <w:fldChar w:fldCharType="begin"/>
      </w:r>
      <w:r>
        <w:instrText xml:space="preserve"> PAGEREF _Toc236076758 \h </w:instrText>
      </w:r>
      <w:r>
        <w:fldChar w:fldCharType="separate"/>
      </w:r>
      <w:r>
        <w:t>85</w:t>
      </w:r>
      <w:r>
        <w:fldChar w:fldCharType="end"/>
      </w:r>
      <w:r>
        <w:fldChar w:fldCharType="end"/>
      </w:r>
    </w:p>
    <w:p w14:paraId="29B7B6B0">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"_Toc236076759" </w:instrText>
      </w:r>
      <w:r>
        <w:fldChar w:fldCharType="separate"/>
      </w:r>
      <w:r>
        <w:rPr>
          <w:rStyle w:val="22"/>
        </w:rPr>
        <w:t>4.3.3 Evaluasi Konvergensi HPO per Model</w:t>
      </w:r>
      <w:r>
        <w:tab/>
      </w:r>
      <w:r>
        <w:fldChar w:fldCharType="begin"/>
      </w:r>
      <w:r>
        <w:instrText xml:space="preserve"> PAGEREF _Toc236076759 \h </w:instrText>
      </w:r>
      <w:r>
        <w:fldChar w:fldCharType="separate"/>
      </w:r>
      <w:r>
        <w:t>85</w:t>
      </w:r>
      <w:r>
        <w:fldChar w:fldCharType="end"/>
      </w:r>
      <w:r>
        <w:fldChar w:fldCharType="end"/>
      </w:r>
    </w:p>
    <w:p w14:paraId="07E83AEF">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"_Toc236076760" </w:instrText>
      </w:r>
      <w:r>
        <w:fldChar w:fldCharType="separate"/>
      </w:r>
      <w:r>
        <w:rPr>
          <w:rStyle w:val="22"/>
          <w:lang w:val="en-US"/>
        </w:rPr>
        <w:t>4.3.4 Pelatihan Ulang Model</w:t>
      </w:r>
      <w:r>
        <w:tab/>
      </w:r>
      <w:r>
        <w:fldChar w:fldCharType="begin"/>
      </w:r>
      <w:r>
        <w:instrText xml:space="preserve"> PAGEREF _Toc236076760 \h </w:instrText>
      </w:r>
      <w:r>
        <w:fldChar w:fldCharType="separate"/>
      </w:r>
      <w:r>
        <w:t>88</w:t>
      </w:r>
      <w:r>
        <w:fldChar w:fldCharType="end"/>
      </w:r>
      <w:r>
        <w:fldChar w:fldCharType="end"/>
      </w:r>
    </w:p>
    <w:p w14:paraId="732990C1">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"_Toc236076761" </w:instrText>
      </w:r>
      <w:r>
        <w:fldChar w:fldCharType="separate"/>
      </w:r>
      <w:r>
        <w:rPr>
          <w:rStyle w:val="22"/>
        </w:rPr>
        <w:t>4.4 Hasil Pelatihan Model pada Wilayah Sumber</w:t>
      </w:r>
      <w:r>
        <w:tab/>
      </w:r>
      <w:r>
        <w:fldChar w:fldCharType="begin"/>
      </w:r>
      <w:r>
        <w:instrText xml:space="preserve"> PAGEREF _Toc236076761 \h </w:instrText>
      </w:r>
      <w:r>
        <w:fldChar w:fldCharType="separate"/>
      </w:r>
      <w:r>
        <w:t>90</w:t>
      </w:r>
      <w:r>
        <w:fldChar w:fldCharType="end"/>
      </w:r>
      <w:r>
        <w:fldChar w:fldCharType="end"/>
      </w:r>
    </w:p>
    <w:p w14:paraId="1CA3233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"_Toc236076762" </w:instrText>
      </w:r>
      <w:r>
        <w:fldChar w:fldCharType="separate"/>
      </w:r>
      <w:r>
        <w:rPr>
          <w:rStyle w:val="22"/>
        </w:rPr>
        <w:t>4.4.1 Ranking Model Terbaik pada Wilayah Sumber</w:t>
      </w:r>
      <w:r>
        <w:tab/>
      </w:r>
      <w:r>
        <w:fldChar w:fldCharType="begin"/>
      </w:r>
      <w:r>
        <w:instrText xml:space="preserve"> PAGEREF _Toc236076762 \h </w:instrText>
      </w:r>
      <w:r>
        <w:fldChar w:fldCharType="separate"/>
      </w:r>
      <w:r>
        <w:t>90</w:t>
      </w:r>
      <w:r>
        <w:fldChar w:fldCharType="end"/>
      </w:r>
      <w:r>
        <w:fldChar w:fldCharType="end"/>
      </w:r>
    </w:p>
    <w:p w14:paraId="398ACC6C">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"_Toc236076763" </w:instrText>
      </w:r>
      <w:r>
        <w:fldChar w:fldCharType="separate"/>
      </w:r>
      <w:r>
        <w:rPr>
          <w:rStyle w:val="22"/>
        </w:rPr>
        <w:t>4.4.2 Evaluasi Ketahanan Regional Jawa Barat</w:t>
      </w:r>
      <w:r>
        <w:tab/>
      </w:r>
      <w:r>
        <w:fldChar w:fldCharType="begin"/>
      </w:r>
      <w:r>
        <w:instrText xml:space="preserve"> PAGEREF _Toc236076763 \h </w:instrText>
      </w:r>
      <w:r>
        <w:fldChar w:fldCharType="separate"/>
      </w:r>
      <w:r>
        <w:t>94</w:t>
      </w:r>
      <w:r>
        <w:fldChar w:fldCharType="end"/>
      </w:r>
      <w:r>
        <w:fldChar w:fldCharType="end"/>
      </w:r>
    </w:p>
    <w:p w14:paraId="1CD1241A">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"_Toc236076764" </w:instrText>
      </w:r>
      <w:r>
        <w:fldChar w:fldCharType="separate"/>
      </w:r>
      <w:r>
        <w:rPr>
          <w:rStyle w:val="22"/>
          <w:bCs/>
        </w:rPr>
        <w:t xml:space="preserve">4.4.3 </w:t>
      </w:r>
      <w:r>
        <w:rPr>
          <w:rStyle w:val="22"/>
          <w:bCs/>
          <w:i/>
          <w:iCs/>
        </w:rPr>
        <w:t xml:space="preserve">Trade-off </w:t>
      </w:r>
      <w:r>
        <w:rPr>
          <w:rStyle w:val="22"/>
          <w:bCs/>
        </w:rPr>
        <w:t>Efisiensi Komputasi dan Implikasi Pemilihan Model</w:t>
      </w:r>
      <w:r>
        <w:tab/>
      </w:r>
      <w:r>
        <w:fldChar w:fldCharType="begin"/>
      </w:r>
      <w:r>
        <w:instrText xml:space="preserve"> PAGEREF _Toc236076764 \h </w:instrText>
      </w:r>
      <w:r>
        <w:fldChar w:fldCharType="separate"/>
      </w:r>
      <w:r>
        <w:t>96</w:t>
      </w:r>
      <w:r>
        <w:fldChar w:fldCharType="end"/>
      </w:r>
      <w:r>
        <w:fldChar w:fldCharType="end"/>
      </w:r>
    </w:p>
    <w:p w14:paraId="1E62BD42">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"_Toc236076765" </w:instrText>
      </w:r>
      <w:r>
        <w:fldChar w:fldCharType="separate"/>
      </w:r>
      <w:r>
        <w:rPr>
          <w:rStyle w:val="22"/>
        </w:rPr>
        <w:t>4.5 Evaluasi Kontribusi Strategi Transfer Learning</w:t>
      </w:r>
      <w:r>
        <w:tab/>
      </w:r>
      <w:r>
        <w:fldChar w:fldCharType="begin"/>
      </w:r>
      <w:r>
        <w:instrText xml:space="preserve"> PAGEREF _Toc236076765 \h </w:instrText>
      </w:r>
      <w:r>
        <w:fldChar w:fldCharType="separate"/>
      </w:r>
      <w:r>
        <w:t>97</w:t>
      </w:r>
      <w:r>
        <w:fldChar w:fldCharType="end"/>
      </w:r>
      <w:r>
        <w:fldChar w:fldCharType="end"/>
      </w:r>
    </w:p>
    <w:p w14:paraId="4D034F36">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"_Toc236076766" </w:instrText>
      </w:r>
      <w:r>
        <w:fldChar w:fldCharType="separate"/>
      </w:r>
      <w:r>
        <w:rPr>
          <w:rStyle w:val="22"/>
          <w:bCs/>
        </w:rPr>
        <w:t xml:space="preserve">4.5.1 Evaluasi Protokol </w:t>
      </w:r>
      <w:r>
        <w:rPr>
          <w:rStyle w:val="22"/>
          <w:bCs/>
          <w:i/>
          <w:iCs/>
        </w:rPr>
        <w:t>Zero-Shot Learning</w:t>
      </w:r>
      <w:r>
        <w:tab/>
      </w:r>
      <w:r>
        <w:fldChar w:fldCharType="begin"/>
      </w:r>
      <w:r>
        <w:instrText xml:space="preserve"> PAGEREF _Toc236076766 \h </w:instrText>
      </w:r>
      <w:r>
        <w:fldChar w:fldCharType="separate"/>
      </w:r>
      <w:r>
        <w:t>97</w:t>
      </w:r>
      <w:r>
        <w:fldChar w:fldCharType="end"/>
      </w:r>
      <w:r>
        <w:fldChar w:fldCharType="end"/>
      </w:r>
    </w:p>
    <w:p w14:paraId="1302BA57">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"_Toc236076767" </w:instrText>
      </w:r>
      <w:r>
        <w:fldChar w:fldCharType="separate"/>
      </w:r>
      <w:r>
        <w:rPr>
          <w:rStyle w:val="22"/>
          <w:bCs/>
        </w:rPr>
        <w:t xml:space="preserve">4.5.2 Evaluasi Protokol </w:t>
      </w:r>
      <w:r>
        <w:rPr>
          <w:rStyle w:val="22"/>
          <w:bCs/>
          <w:i/>
          <w:iCs/>
        </w:rPr>
        <w:t>Head-Only Fine-Tuning</w:t>
      </w:r>
      <w:r>
        <w:tab/>
      </w:r>
      <w:r>
        <w:fldChar w:fldCharType="begin"/>
      </w:r>
      <w:r>
        <w:instrText xml:space="preserve"> PAGEREF _Toc236076767 \h </w:instrText>
      </w:r>
      <w:r>
        <w:fldChar w:fldCharType="separate"/>
      </w:r>
      <w:r>
        <w:t>98</w:t>
      </w:r>
      <w:r>
        <w:fldChar w:fldCharType="end"/>
      </w:r>
      <w:r>
        <w:fldChar w:fldCharType="end"/>
      </w:r>
    </w:p>
    <w:p w14:paraId="6AB34869">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"_Toc236076768" </w:instrText>
      </w:r>
      <w:r>
        <w:fldChar w:fldCharType="separate"/>
      </w:r>
      <w:r>
        <w:rPr>
          <w:rStyle w:val="22"/>
          <w:bCs/>
        </w:rPr>
        <w:t xml:space="preserve">4.5.3 Evaluasi Protokol </w:t>
      </w:r>
      <w:r>
        <w:rPr>
          <w:rStyle w:val="22"/>
          <w:bCs/>
          <w:i/>
          <w:iCs/>
        </w:rPr>
        <w:t>Staged Unfreezing</w:t>
      </w:r>
      <w:r>
        <w:tab/>
      </w:r>
      <w:r>
        <w:fldChar w:fldCharType="begin"/>
      </w:r>
      <w:r>
        <w:instrText xml:space="preserve"> PAGEREF _Toc236076768 \h </w:instrText>
      </w:r>
      <w:r>
        <w:fldChar w:fldCharType="separate"/>
      </w:r>
      <w:r>
        <w:t>98</w:t>
      </w:r>
      <w:r>
        <w:fldChar w:fldCharType="end"/>
      </w:r>
      <w:r>
        <w:fldChar w:fldCharType="end"/>
      </w:r>
    </w:p>
    <w:p w14:paraId="7AEDD5CF">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"_Toc236076769" </w:instrText>
      </w:r>
      <w:r>
        <w:fldChar w:fldCharType="separate"/>
      </w:r>
      <w:r>
        <w:rPr>
          <w:rStyle w:val="22"/>
        </w:rPr>
        <w:t>4.5.4 Analisis Efisiensi Adaptasi dan Konvergensi</w:t>
      </w:r>
      <w:r>
        <w:tab/>
      </w:r>
      <w:r>
        <w:fldChar w:fldCharType="begin"/>
      </w:r>
      <w:r>
        <w:instrText xml:space="preserve"> PAGEREF _Toc236076769 \h </w:instrText>
      </w:r>
      <w:r>
        <w:fldChar w:fldCharType="separate"/>
      </w:r>
      <w:r>
        <w:t>99</w:t>
      </w:r>
      <w:r>
        <w:fldChar w:fldCharType="end"/>
      </w:r>
      <w:r>
        <w:fldChar w:fldCharType="end"/>
      </w:r>
    </w:p>
    <w:p w14:paraId="11305519">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"_Toc236076770" </w:instrText>
      </w:r>
      <w:r>
        <w:fldChar w:fldCharType="separate"/>
      </w:r>
      <w:r>
        <w:rPr>
          <w:rStyle w:val="22"/>
        </w:rPr>
        <w:t>4.6 Analisis Ketahanan dan Kinerja Tomarx</w:t>
      </w:r>
      <w:r>
        <w:tab/>
      </w:r>
      <w:r>
        <w:fldChar w:fldCharType="begin"/>
      </w:r>
      <w:r>
        <w:instrText xml:space="preserve"> PAGEREF _Toc236076770 \h </w:instrText>
      </w:r>
      <w:r>
        <w:fldChar w:fldCharType="separate"/>
      </w:r>
      <w:r>
        <w:t>99</w:t>
      </w:r>
      <w:r>
        <w:fldChar w:fldCharType="end"/>
      </w:r>
      <w:r>
        <w:fldChar w:fldCharType="end"/>
      </w:r>
    </w:p>
    <w:p w14:paraId="063D4CF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"_Toc236076771" </w:instrText>
      </w:r>
      <w:r>
        <w:fldChar w:fldCharType="separate"/>
      </w:r>
      <w:r>
        <w:rPr>
          <w:rStyle w:val="22"/>
        </w:rPr>
        <w:t>4.6.1 Performa pada Pola Hujan Monsunal: Kupang</w:t>
      </w:r>
      <w:r>
        <w:tab/>
      </w:r>
      <w:r>
        <w:fldChar w:fldCharType="begin"/>
      </w:r>
      <w:r>
        <w:instrText xml:space="preserve"> PAGEREF _Toc236076771 \h </w:instrText>
      </w:r>
      <w:r>
        <w:fldChar w:fldCharType="separate"/>
      </w:r>
      <w:r>
        <w:t>99</w:t>
      </w:r>
      <w:r>
        <w:fldChar w:fldCharType="end"/>
      </w:r>
      <w:r>
        <w:fldChar w:fldCharType="end"/>
      </w:r>
    </w:p>
    <w:p w14:paraId="78BE7200">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"_Toc236076772" </w:instrText>
      </w:r>
      <w:r>
        <w:fldChar w:fldCharType="separate"/>
      </w:r>
      <w:r>
        <w:rPr>
          <w:rStyle w:val="22"/>
        </w:rPr>
        <w:t>4.6.2 Performa pada Pola Hujan Ekuatorial: Padang</w:t>
      </w:r>
      <w:r>
        <w:tab/>
      </w:r>
      <w:r>
        <w:fldChar w:fldCharType="begin"/>
      </w:r>
      <w:r>
        <w:instrText xml:space="preserve"> PAGEREF _Toc236076772 \h </w:instrText>
      </w:r>
      <w:r>
        <w:fldChar w:fldCharType="separate"/>
      </w:r>
      <w:r>
        <w:t>100</w:t>
      </w:r>
      <w:r>
        <w:fldChar w:fldCharType="end"/>
      </w:r>
      <w:r>
        <w:fldChar w:fldCharType="end"/>
      </w:r>
    </w:p>
    <w:p w14:paraId="3D2854C6">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"_Toc236076773" </w:instrText>
      </w:r>
      <w:r>
        <w:fldChar w:fldCharType="separate"/>
      </w:r>
      <w:r>
        <w:rPr>
          <w:rStyle w:val="22"/>
        </w:rPr>
        <w:t>4.6.3 Performa pada Pola Hujan Lokal: Ambon</w:t>
      </w:r>
      <w:r>
        <w:tab/>
      </w:r>
      <w:r>
        <w:fldChar w:fldCharType="begin"/>
      </w:r>
      <w:r>
        <w:instrText xml:space="preserve"> PAGEREF _Toc236076773 \h </w:instrText>
      </w:r>
      <w:r>
        <w:fldChar w:fldCharType="separate"/>
      </w:r>
      <w:r>
        <w:t>100</w:t>
      </w:r>
      <w:r>
        <w:fldChar w:fldCharType="end"/>
      </w:r>
      <w:r>
        <w:fldChar w:fldCharType="end"/>
      </w:r>
    </w:p>
    <w:p w14:paraId="4F4903A0">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"_Toc236076774" </w:instrText>
      </w:r>
      <w:r>
        <w:fldChar w:fldCharType="separate"/>
      </w:r>
      <w:r>
        <w:rPr>
          <w:rStyle w:val="22"/>
        </w:rPr>
        <w:t>4.6.4 Analisis Ketangguhan Model Berdasarkan CVaR95</w:t>
      </w:r>
      <w:r>
        <w:tab/>
      </w:r>
      <w:r>
        <w:fldChar w:fldCharType="begin"/>
      </w:r>
      <w:r>
        <w:instrText xml:space="preserve"> PAGEREF _Toc236076774 \h </w:instrText>
      </w:r>
      <w:r>
        <w:fldChar w:fldCharType="separate"/>
      </w:r>
      <w:r>
        <w:t>100</w:t>
      </w:r>
      <w:r>
        <w:fldChar w:fldCharType="end"/>
      </w:r>
      <w:r>
        <w:fldChar w:fldCharType="end"/>
      </w:r>
    </w:p>
    <w:p w14:paraId="3F1CE6D8">
      <w:pPr>
        <w:pStyle w:val="29"/>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"_Toc236076775" </w:instrText>
      </w:r>
      <w:r>
        <w:fldChar w:fldCharType="separate"/>
      </w:r>
      <w:r>
        <w:rPr>
          <w:rStyle w:val="22"/>
          <w:bCs/>
        </w:rPr>
        <w:t xml:space="preserve">4.6.5 Temuan </w:t>
      </w:r>
      <w:r>
        <w:rPr>
          <w:rStyle w:val="22"/>
          <w:bCs/>
          <w:i/>
          <w:iCs/>
        </w:rPr>
        <w:t>Transfer Learning</w:t>
      </w:r>
      <w:r>
        <w:tab/>
      </w:r>
      <w:r>
        <w:fldChar w:fldCharType="begin"/>
      </w:r>
      <w:r>
        <w:instrText xml:space="preserve"> PAGEREF _Toc236076775 \h </w:instrText>
      </w:r>
      <w:r>
        <w:fldChar w:fldCharType="separate"/>
      </w:r>
      <w:r>
        <w:t>103</w:t>
      </w:r>
      <w:r>
        <w:fldChar w:fldCharType="end"/>
      </w:r>
      <w:r>
        <w:fldChar w:fldCharType="end"/>
      </w:r>
      <w:r>
        <w:br w:type="textWrapping"/>
      </w:r>
    </w:p>
    <w:p w14:paraId="52D0BE84">
      <w:pPr>
        <w:pStyle w:val="27"/>
        <w:spacing w:after="0"/>
        <w:rPr>
          <w:rFonts w:asciiTheme="minorHAnsi" w:hAnsiTheme="minorHAnsi" w:eastAsiaTheme="minorEastAsia" w:cstheme="minorBidi"/>
          <w:sz w:val="22"/>
          <w:lang w:val="id-ID"/>
        </w:rPr>
      </w:pPr>
      <w:r>
        <w:fldChar w:fldCharType="begin"/>
      </w:r>
      <w:r>
        <w:instrText xml:space="preserve"> HYPERLINK \l "_Toc236076776" </w:instrText>
      </w:r>
      <w:r>
        <w:fldChar w:fldCharType="separate"/>
      </w:r>
      <w:r>
        <w:rPr>
          <w:rStyle w:val="22"/>
        </w:rPr>
        <w:t>BAB V  PENUTUP</w:t>
      </w:r>
      <w:r>
        <w:tab/>
      </w:r>
      <w:r>
        <w:fldChar w:fldCharType="begin"/>
      </w:r>
      <w:r>
        <w:instrText xml:space="preserve"> PAGEREF _Toc236076776 \h </w:instrText>
      </w:r>
      <w:r>
        <w:fldChar w:fldCharType="separate"/>
      </w:r>
      <w:r>
        <w:t>105</w:t>
      </w:r>
      <w:r>
        <w:fldChar w:fldCharType="end"/>
      </w:r>
      <w:r>
        <w:fldChar w:fldCharType="end"/>
      </w:r>
    </w:p>
    <w:p w14:paraId="2D29A3D3">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"_Toc236076777" </w:instrText>
      </w:r>
      <w:r>
        <w:fldChar w:fldCharType="separate"/>
      </w:r>
      <w:r>
        <w:rPr>
          <w:rStyle w:val="22"/>
        </w:rPr>
        <w:t>5.1 Kesimpulan</w:t>
      </w:r>
      <w:r>
        <w:tab/>
      </w:r>
      <w:r>
        <w:fldChar w:fldCharType="begin"/>
      </w:r>
      <w:r>
        <w:instrText xml:space="preserve"> PAGEREF _Toc236076777 \h </w:instrText>
      </w:r>
      <w:r>
        <w:fldChar w:fldCharType="separate"/>
      </w:r>
      <w:r>
        <w:t>105</w:t>
      </w:r>
      <w:r>
        <w:fldChar w:fldCharType="end"/>
      </w:r>
      <w:r>
        <w:fldChar w:fldCharType="end"/>
      </w:r>
    </w:p>
    <w:p w14:paraId="317E8F46">
      <w:pPr>
        <w:pStyle w:val="28"/>
        <w:tabs>
          <w:tab w:val="right" w:leader="dot" w:pos="7927"/>
        </w:tabs>
        <w:spacing w:after="0" w:line="240" w:lineRule="auto"/>
        <w:rPr>
          <w:rFonts w:asciiTheme="minorHAnsi" w:hAnsiTheme="minorHAnsi" w:eastAsiaTheme="minorEastAsia" w:cstheme="minorBidi"/>
          <w:sz w:val="22"/>
        </w:rPr>
      </w:pPr>
      <w:r>
        <w:fldChar w:fldCharType="begin"/>
      </w:r>
      <w:r>
        <w:instrText xml:space="preserve"> HYPERLINK \l "_Toc236076778" </w:instrText>
      </w:r>
      <w:r>
        <w:fldChar w:fldCharType="separate"/>
      </w:r>
      <w:r>
        <w:rPr>
          <w:rStyle w:val="22"/>
        </w:rPr>
        <w:t>5.2 Saran</w:t>
      </w:r>
      <w:r>
        <w:tab/>
      </w:r>
      <w:r>
        <w:fldChar w:fldCharType="begin"/>
      </w:r>
      <w:r>
        <w:instrText xml:space="preserve"> PAGEREF _Toc236076778 \h </w:instrText>
      </w:r>
      <w:r>
        <w:fldChar w:fldCharType="separate"/>
      </w:r>
      <w:r>
        <w:t>106</w:t>
      </w:r>
      <w:r>
        <w:fldChar w:fldCharType="end"/>
      </w:r>
      <w:r>
        <w:fldChar w:fldCharType="end"/>
      </w:r>
      <w:r>
        <w:br w:type="textWrapping"/>
      </w:r>
    </w:p>
    <w:p w14:paraId="5F4B3E0E">
      <w:pPr>
        <w:pStyle w:val="27"/>
        <w:spacing w:after="0"/>
        <w:rPr>
          <w:rFonts w:asciiTheme="minorHAnsi" w:hAnsiTheme="minorHAnsi" w:eastAsiaTheme="minorEastAsia" w:cstheme="minorBidi"/>
          <w:sz w:val="22"/>
          <w:lang w:val="id-ID"/>
        </w:rPr>
      </w:pPr>
      <w:r>
        <w:fldChar w:fldCharType="begin"/>
      </w:r>
      <w:r>
        <w:instrText xml:space="preserve"> HYPERLINK \l "_Toc236076779" </w:instrText>
      </w:r>
      <w:r>
        <w:fldChar w:fldCharType="separate"/>
      </w:r>
      <w:r>
        <w:rPr>
          <w:rStyle w:val="22"/>
        </w:rPr>
        <w:t>DAFTAR PUSTAKA</w:t>
      </w:r>
      <w:r>
        <w:tab/>
      </w:r>
      <w:r>
        <w:fldChar w:fldCharType="begin"/>
      </w:r>
      <w:r>
        <w:instrText xml:space="preserve"> PAGEREF _Toc236076779 \h </w:instrText>
      </w:r>
      <w:r>
        <w:fldChar w:fldCharType="separate"/>
      </w:r>
      <w:r>
        <w:t>108</w:t>
      </w:r>
      <w:r>
        <w:fldChar w:fldCharType="end"/>
      </w:r>
      <w:r>
        <w:fldChar w:fldCharType="end"/>
      </w:r>
    </w:p>
    <w:p w14:paraId="64987FD1">
      <w:pPr>
        <w:pStyle w:val="27"/>
        <w:spacing w:after="0"/>
        <w:rPr>
          <w:rFonts w:asciiTheme="minorHAnsi" w:hAnsiTheme="minorHAnsi" w:eastAsiaTheme="minorEastAsia" w:cstheme="minorBidi"/>
          <w:sz w:val="22"/>
          <w:lang w:val="id-ID"/>
        </w:rPr>
      </w:pPr>
      <w:r>
        <w:fldChar w:fldCharType="begin"/>
      </w:r>
      <w:r>
        <w:instrText xml:space="preserve"> HYPERLINK \l "_Toc236076780" </w:instrText>
      </w:r>
      <w:r>
        <w:fldChar w:fldCharType="separate"/>
      </w:r>
      <w:r>
        <w:rPr>
          <w:rStyle w:val="22"/>
        </w:rPr>
        <w:t>LAMPIRAN</w:t>
      </w:r>
      <w:r>
        <w:tab/>
      </w:r>
      <w:r>
        <w:fldChar w:fldCharType="begin"/>
      </w:r>
      <w:r>
        <w:instrText xml:space="preserve"> PAGEREF _Toc236076780 \h </w:instrText>
      </w:r>
      <w:r>
        <w:fldChar w:fldCharType="separate"/>
      </w:r>
      <w:r>
        <w:t>115</w:t>
      </w:r>
      <w:r>
        <w:fldChar w:fldCharType="end"/>
      </w:r>
      <w:r>
        <w:fldChar w:fldCharType="end"/>
      </w:r>
    </w:p>
    <w:p w14:paraId="496C61DF">
      <w:pPr>
        <w:spacing w:after="0" w:line="240" w:lineRule="auto"/>
        <w:rPr>
          <w:lang w:val="en-US"/>
        </w:rPr>
      </w:pPr>
      <w:r>
        <w:rPr>
          <w:lang w:val="en-US"/>
        </w:rPr>
        <w:fldChar w:fldCharType="end"/>
      </w:r>
      <w:r>
        <w:rPr>
          <w:lang w:val="en-US"/>
        </w:rPr>
        <w:br w:type="page"/>
      </w:r>
    </w:p>
    <w:p w14:paraId="5DF385E5">
      <w:pPr>
        <w:pStyle w:val="2"/>
      </w:pPr>
      <w:bookmarkStart w:id="9" w:name="_Toc236076711"/>
      <w:r>
        <w:t>DAFTAR TABEL</w:t>
      </w:r>
      <w:bookmarkEnd w:id="9"/>
    </w:p>
    <w:p w14:paraId="626492E2">
      <w:pPr>
        <w:pStyle w:val="26"/>
        <w:tabs>
          <w:tab w:val="right" w:leader="dot" w:pos="7927"/>
        </w:tabs>
        <w:spacing w:line="240" w:lineRule="auto"/>
      </w:pPr>
      <w:r>
        <w:rPr>
          <w:lang w:val="en-US"/>
        </w:rPr>
        <w:fldChar w:fldCharType="begin"/>
      </w:r>
      <w:r>
        <w:rPr>
          <w:lang w:val="en-US"/>
        </w:rPr>
        <w:instrText xml:space="preserve"> TOC \h \z \c "Tabel 2." </w:instrText>
      </w:r>
      <w:r>
        <w:rPr>
          <w:lang w:val="en-US"/>
        </w:rPr>
        <w:fldChar w:fldCharType="separate"/>
      </w:r>
      <w:r>
        <w:fldChar w:fldCharType="begin"/>
      </w:r>
      <w:r>
        <w:instrText xml:space="preserve"> HYPERLINK \l "_Toc221800450" </w:instrText>
      </w:r>
      <w:r>
        <w:fldChar w:fldCharType="separate"/>
      </w:r>
      <w:r>
        <w:rPr>
          <w:rStyle w:val="22"/>
        </w:rPr>
        <w:t>Tabel 2.</w:t>
      </w:r>
      <w:r>
        <w:rPr>
          <w:rStyle w:val="22"/>
          <w:lang w:val="en-US"/>
        </w:rPr>
        <w:t xml:space="preserve"> </w:t>
      </w:r>
      <w:r>
        <w:rPr>
          <w:rStyle w:val="22"/>
        </w:rPr>
        <w:t>1</w:t>
      </w:r>
      <w:r>
        <w:rPr>
          <w:rStyle w:val="22"/>
          <w:lang w:val="en-US"/>
        </w:rPr>
        <w:t xml:space="preserve"> Perbandingan Penelitian Terdahulu dan Penelitian Ini</w:t>
      </w:r>
      <w:r>
        <w:tab/>
      </w:r>
      <w:r>
        <w:fldChar w:fldCharType="begin"/>
      </w:r>
      <w:r>
        <w:instrText xml:space="preserve"> PAGEREF _Toc221800450 \h </w:instrText>
      </w:r>
      <w:r>
        <w:fldChar w:fldCharType="separate"/>
      </w:r>
      <w:r>
        <w:t>8</w:t>
      </w:r>
      <w:r>
        <w:fldChar w:fldCharType="end"/>
      </w:r>
      <w:r>
        <w:fldChar w:fldCharType="end"/>
      </w:r>
      <w:r>
        <w:rPr>
          <w:lang w:val="en-US"/>
        </w:rPr>
        <w:fldChar w:fldCharType="end"/>
      </w:r>
      <w:r>
        <w:rPr>
          <w:lang w:val="en-US"/>
        </w:rPr>
        <w:fldChar w:fldCharType="begin"/>
      </w:r>
      <w:r>
        <w:rPr>
          <w:lang w:val="en-US"/>
        </w:rPr>
        <w:instrText xml:space="preserve"> TOC \h \z \c "Gambar 3." </w:instrText>
      </w:r>
      <w:r>
        <w:rPr>
          <w:lang w:val="en-US"/>
        </w:rPr>
        <w:fldChar w:fldCharType="end"/>
      </w:r>
      <w:r>
        <w:rPr>
          <w:lang w:val="en-US"/>
        </w:rPr>
        <w:fldChar w:fldCharType="begin"/>
      </w:r>
      <w:r>
        <w:rPr>
          <w:lang w:val="en-US"/>
        </w:rPr>
        <w:instrText xml:space="preserve"> TOC \h \z \c "Tabel 3. " </w:instrText>
      </w:r>
      <w:r>
        <w:rPr>
          <w:lang w:val="en-US"/>
        </w:rPr>
        <w:fldChar w:fldCharType="separate"/>
      </w:r>
    </w:p>
    <w:p w14:paraId="4763C922">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"_Toc235035441" </w:instrText>
      </w:r>
      <w:r>
        <w:fldChar w:fldCharType="separate"/>
      </w:r>
      <w:r>
        <w:rPr>
          <w:rStyle w:val="22"/>
        </w:rPr>
        <w:t>Tabel 3.</w:t>
      </w:r>
      <w:r>
        <w:rPr>
          <w:rStyle w:val="22"/>
          <w:lang w:val="en-US"/>
        </w:rPr>
        <w:t xml:space="preserve"> </w:t>
      </w:r>
      <w:r>
        <w:rPr>
          <w:rStyle w:val="22"/>
        </w:rPr>
        <w:t>1 Perangkat Keras Penelitian</w:t>
      </w:r>
      <w:r>
        <w:tab/>
      </w:r>
      <w:r>
        <w:fldChar w:fldCharType="begin"/>
      </w:r>
      <w:r>
        <w:instrText xml:space="preserve"> PAGEREF _Toc235035441 \h </w:instrText>
      </w:r>
      <w:r>
        <w:fldChar w:fldCharType="separate"/>
      </w:r>
      <w:r>
        <w:t>36</w:t>
      </w:r>
      <w:r>
        <w:fldChar w:fldCharType="end"/>
      </w:r>
      <w:r>
        <w:fldChar w:fldCharType="end"/>
      </w:r>
    </w:p>
    <w:p w14:paraId="5A27FFC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"_Toc235035442" </w:instrText>
      </w:r>
      <w:r>
        <w:fldChar w:fldCharType="separate"/>
      </w:r>
      <w:r>
        <w:rPr>
          <w:rStyle w:val="22"/>
        </w:rPr>
        <w:t>Tabel 3.</w:t>
      </w:r>
      <w:r>
        <w:rPr>
          <w:rStyle w:val="22"/>
          <w:lang w:val="en-US"/>
        </w:rPr>
        <w:t xml:space="preserve"> </w:t>
      </w:r>
      <w:r>
        <w:rPr>
          <w:rStyle w:val="22"/>
        </w:rPr>
        <w:t>2 Perangkat Lunak Penelitian</w:t>
      </w:r>
      <w:r>
        <w:tab/>
      </w:r>
      <w:r>
        <w:fldChar w:fldCharType="begin"/>
      </w:r>
      <w:r>
        <w:instrText xml:space="preserve"> PAGEREF _Toc235035442 \h </w:instrText>
      </w:r>
      <w:r>
        <w:fldChar w:fldCharType="separate"/>
      </w:r>
      <w:r>
        <w:t>36</w:t>
      </w:r>
      <w:r>
        <w:fldChar w:fldCharType="end"/>
      </w:r>
      <w:r>
        <w:fldChar w:fldCharType="end"/>
      </w:r>
    </w:p>
    <w:p w14:paraId="4B8D759A">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"_Toc235035443" </w:instrText>
      </w:r>
      <w:r>
        <w:fldChar w:fldCharType="separate"/>
      </w:r>
      <w:r>
        <w:rPr>
          <w:rStyle w:val="22"/>
        </w:rPr>
        <w:t>Tabel 3.</w:t>
      </w:r>
      <w:r>
        <w:rPr>
          <w:rStyle w:val="22"/>
          <w:lang w:val="en-US"/>
        </w:rPr>
        <w:t xml:space="preserve"> </w:t>
      </w:r>
      <w:r>
        <w:rPr>
          <w:rStyle w:val="22"/>
        </w:rPr>
        <w:t xml:space="preserve">3 </w:t>
      </w:r>
      <w:r>
        <w:rPr>
          <w:rStyle w:val="22"/>
          <w:lang w:val="en-US"/>
        </w:rPr>
        <w:t>Wilayah Studi</w:t>
      </w:r>
      <w:r>
        <w:tab/>
      </w:r>
      <w:r>
        <w:fldChar w:fldCharType="begin"/>
      </w:r>
      <w:r>
        <w:instrText xml:space="preserve"> PAGEREF _Toc235035443 \h </w:instrText>
      </w:r>
      <w:r>
        <w:fldChar w:fldCharType="separate"/>
      </w:r>
      <w:r>
        <w:t>37</w:t>
      </w:r>
      <w:r>
        <w:fldChar w:fldCharType="end"/>
      </w:r>
      <w:r>
        <w:fldChar w:fldCharType="end"/>
      </w:r>
    </w:p>
    <w:p w14:paraId="0CE560C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"_Toc235035444" </w:instrText>
      </w:r>
      <w:r>
        <w:fldChar w:fldCharType="separate"/>
      </w:r>
      <w:r>
        <w:rPr>
          <w:rStyle w:val="22"/>
        </w:rPr>
        <w:t>Tabel 3.</w:t>
      </w:r>
      <w:r>
        <w:rPr>
          <w:rStyle w:val="22"/>
          <w:lang w:val="en-US"/>
        </w:rPr>
        <w:t xml:space="preserve"> </w:t>
      </w:r>
      <w:r>
        <w:rPr>
          <w:rStyle w:val="22"/>
        </w:rPr>
        <w:t>4 Variabel Atmosfer ERA5-Land</w:t>
      </w:r>
      <w:r>
        <w:tab/>
      </w:r>
      <w:r>
        <w:fldChar w:fldCharType="begin"/>
      </w:r>
      <w:r>
        <w:instrText xml:space="preserve"> PAGEREF _Toc235035444 \h </w:instrText>
      </w:r>
      <w:r>
        <w:fldChar w:fldCharType="separate"/>
      </w:r>
      <w:r>
        <w:t>40</w:t>
      </w:r>
      <w:r>
        <w:fldChar w:fldCharType="end"/>
      </w:r>
      <w:r>
        <w:fldChar w:fldCharType="end"/>
      </w:r>
    </w:p>
    <w:p w14:paraId="56BE5EE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"_Toc235035445" </w:instrText>
      </w:r>
      <w:r>
        <w:fldChar w:fldCharType="separate"/>
      </w:r>
      <w:r>
        <w:rPr>
          <w:rStyle w:val="22"/>
        </w:rPr>
        <w:t>Tabel 3.</w:t>
      </w:r>
      <w:r>
        <w:rPr>
          <w:rStyle w:val="22"/>
          <w:lang w:val="en-US"/>
        </w:rPr>
        <w:t xml:space="preserve"> </w:t>
      </w:r>
      <w:r>
        <w:rPr>
          <w:rStyle w:val="22"/>
        </w:rPr>
        <w:t>5 Pembagian Rentang Waktu Dataset</w:t>
      </w:r>
      <w:r>
        <w:tab/>
      </w:r>
      <w:r>
        <w:fldChar w:fldCharType="begin"/>
      </w:r>
      <w:r>
        <w:instrText xml:space="preserve"> PAGEREF _Toc235035445 \h </w:instrText>
      </w:r>
      <w:r>
        <w:fldChar w:fldCharType="separate"/>
      </w:r>
      <w:r>
        <w:t>44</w:t>
      </w:r>
      <w:r>
        <w:fldChar w:fldCharType="end"/>
      </w:r>
      <w:r>
        <w:fldChar w:fldCharType="end"/>
      </w:r>
    </w:p>
    <w:p w14:paraId="604A9422">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"_Toc235035446" </w:instrText>
      </w:r>
      <w:r>
        <w:fldChar w:fldCharType="separate"/>
      </w:r>
      <w:r>
        <w:rPr>
          <w:rStyle w:val="22"/>
        </w:rPr>
        <w:t>Tabel 3.</w:t>
      </w:r>
      <w:r>
        <w:rPr>
          <w:rStyle w:val="22"/>
          <w:lang w:val="en-US"/>
        </w:rPr>
        <w:t xml:space="preserve"> </w:t>
      </w:r>
      <w:r>
        <w:rPr>
          <w:rStyle w:val="22"/>
        </w:rPr>
        <w:t>6 Representasi Data Hasil Preprocessing</w:t>
      </w:r>
      <w:r>
        <w:tab/>
      </w:r>
      <w:r>
        <w:fldChar w:fldCharType="begin"/>
      </w:r>
      <w:r>
        <w:instrText xml:space="preserve"> PAGEREF _Toc235035446 \h </w:instrText>
      </w:r>
      <w:r>
        <w:fldChar w:fldCharType="separate"/>
      </w:r>
      <w:r>
        <w:t>45</w:t>
      </w:r>
      <w:r>
        <w:fldChar w:fldCharType="end"/>
      </w:r>
      <w:r>
        <w:fldChar w:fldCharType="end"/>
      </w:r>
    </w:p>
    <w:p w14:paraId="2821D79C">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"_Toc235035447" </w:instrText>
      </w:r>
      <w:r>
        <w:fldChar w:fldCharType="separate"/>
      </w:r>
      <w:r>
        <w:rPr>
          <w:rStyle w:val="22"/>
        </w:rPr>
        <w:t>Tabel 3.</w:t>
      </w:r>
      <w:r>
        <w:rPr>
          <w:rStyle w:val="22"/>
          <w:lang w:val="en-US"/>
        </w:rPr>
        <w:t xml:space="preserve"> </w:t>
      </w:r>
      <w:r>
        <w:rPr>
          <w:rStyle w:val="22"/>
        </w:rPr>
        <w:t>7 Komparasi FPA dan IFPOA-X</w:t>
      </w:r>
      <w:r>
        <w:tab/>
      </w:r>
      <w:r>
        <w:fldChar w:fldCharType="begin"/>
      </w:r>
      <w:r>
        <w:instrText xml:space="preserve"> PAGEREF _Toc235035447 \h </w:instrText>
      </w:r>
      <w:r>
        <w:fldChar w:fldCharType="separate"/>
      </w:r>
      <w:r>
        <w:t>57</w:t>
      </w:r>
      <w:r>
        <w:fldChar w:fldCharType="end"/>
      </w:r>
      <w:r>
        <w:fldChar w:fldCharType="end"/>
      </w:r>
    </w:p>
    <w:p w14:paraId="35594DCB">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"_Toc235035448" </w:instrText>
      </w:r>
      <w:r>
        <w:fldChar w:fldCharType="separate"/>
      </w:r>
      <w:r>
        <w:rPr>
          <w:rStyle w:val="22"/>
        </w:rPr>
        <w:t>Tabel 3.</w:t>
      </w:r>
      <w:r>
        <w:rPr>
          <w:rStyle w:val="22"/>
          <w:lang w:val="en-US"/>
        </w:rPr>
        <w:t xml:space="preserve"> </w:t>
      </w:r>
      <w:r>
        <w:rPr>
          <w:rStyle w:val="22"/>
        </w:rPr>
        <w:t>8 Parameter Model yang Akan Dioptimasi</w:t>
      </w:r>
      <w:r>
        <w:tab/>
      </w:r>
      <w:r>
        <w:fldChar w:fldCharType="begin"/>
      </w:r>
      <w:r>
        <w:instrText xml:space="preserve"> PAGEREF _Toc235035448 \h </w:instrText>
      </w:r>
      <w:r>
        <w:fldChar w:fldCharType="separate"/>
      </w:r>
      <w:r>
        <w:t>59</w:t>
      </w:r>
      <w:r>
        <w:fldChar w:fldCharType="end"/>
      </w:r>
      <w:r>
        <w:fldChar w:fldCharType="end"/>
      </w:r>
    </w:p>
    <w:p w14:paraId="19356920">
      <w:pPr>
        <w:pStyle w:val="26"/>
        <w:tabs>
          <w:tab w:val="right" w:leader="dot" w:pos="7927"/>
        </w:tabs>
        <w:spacing w:line="240" w:lineRule="auto"/>
        <w:rPr>
          <w:lang w:val="en-US"/>
        </w:rPr>
      </w:pPr>
      <w:r>
        <w:fldChar w:fldCharType="begin"/>
      </w:r>
      <w:r>
        <w:instrText xml:space="preserve"> HYPERLINK \l "_Toc235035449" </w:instrText>
      </w:r>
      <w:r>
        <w:fldChar w:fldCharType="separate"/>
      </w:r>
      <w:r>
        <w:rPr>
          <w:rStyle w:val="22"/>
        </w:rPr>
        <w:t>Tabel 3. 9</w:t>
      </w:r>
      <w:r>
        <w:rPr>
          <w:rStyle w:val="22"/>
          <w:lang w:val="en-US"/>
        </w:rPr>
        <w:t xml:space="preserve"> Parameter Pengujian Algoritma</w:t>
      </w:r>
      <w:r>
        <w:tab/>
      </w:r>
      <w:r>
        <w:fldChar w:fldCharType="begin"/>
      </w:r>
      <w:r>
        <w:instrText xml:space="preserve"> PAGEREF _Toc235035449 \h </w:instrText>
      </w:r>
      <w:r>
        <w:fldChar w:fldCharType="separate"/>
      </w:r>
      <w:r>
        <w:t>61</w:t>
      </w:r>
      <w:r>
        <w:fldChar w:fldCharType="end"/>
      </w:r>
      <w:r>
        <w:fldChar w:fldCharType="end"/>
      </w:r>
      <w:r>
        <w:rPr>
          <w:lang w:val="en-US"/>
        </w:rPr>
        <w:fldChar w:fldCharType="end"/>
      </w:r>
    </w:p>
    <w:p w14:paraId="19B3DCF5">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TOC \h \c "Tabel 4."</w:instrText>
      </w:r>
      <w:r>
        <w:fldChar w:fldCharType="separate"/>
      </w:r>
      <w:r>
        <w:fldChar w:fldCharType="begin"/>
      </w:r>
      <w:r>
        <w:instrText xml:space="preserve"> HYPERLINK \l "_Toc236786424" </w:instrText>
      </w:r>
      <w:r>
        <w:fldChar w:fldCharType="separate"/>
      </w:r>
      <w:r>
        <w:rPr>
          <w:rStyle w:val="22"/>
        </w:rPr>
        <w:t>Tabel 4. 1</w:t>
      </w:r>
      <w:r>
        <w:rPr>
          <w:rStyle w:val="22"/>
          <w:lang w:val="en-US"/>
        </w:rPr>
        <w:t xml:space="preserve"> Statistik Deskriptif Nilai Akhir</w:t>
      </w:r>
      <w:r>
        <w:tab/>
      </w:r>
      <w:r>
        <w:fldChar w:fldCharType="begin"/>
      </w:r>
      <w:r>
        <w:instrText xml:space="preserve"> PAGEREF _Toc236786424 \h </w:instrText>
      </w:r>
      <w:r>
        <w:fldChar w:fldCharType="separate"/>
      </w:r>
      <w:r>
        <w:t>71</w:t>
      </w:r>
      <w:r>
        <w:fldChar w:fldCharType="end"/>
      </w:r>
      <w:r>
        <w:fldChar w:fldCharType="end"/>
      </w:r>
    </w:p>
    <w:p w14:paraId="24305E0D">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"_Toc236786425" </w:instrText>
      </w:r>
      <w:r>
        <w:fldChar w:fldCharType="separate"/>
      </w:r>
      <w:r>
        <w:rPr>
          <w:rStyle w:val="22"/>
        </w:rPr>
        <w:t>Tabel 4. 2</w:t>
      </w:r>
      <w:r>
        <w:rPr>
          <w:rStyle w:val="22"/>
          <w:lang w:val="en-US"/>
        </w:rPr>
        <w:t xml:space="preserve"> </w:t>
      </w:r>
      <w:r>
        <w:rPr>
          <w:rStyle w:val="22"/>
        </w:rPr>
        <w:t>Uji Signifikansi dan Besar Perbedaan Kinerja IFPOA-X</w:t>
      </w:r>
      <w:r>
        <w:tab/>
      </w:r>
      <w:r>
        <w:fldChar w:fldCharType="begin"/>
      </w:r>
      <w:r>
        <w:instrText xml:space="preserve"> PAGEREF _Toc236786425 \h </w:instrText>
      </w:r>
      <w:r>
        <w:fldChar w:fldCharType="separate"/>
      </w:r>
      <w:r>
        <w:t>74</w:t>
      </w:r>
      <w:r>
        <w:fldChar w:fldCharType="end"/>
      </w:r>
      <w:r>
        <w:fldChar w:fldCharType="end"/>
      </w:r>
    </w:p>
    <w:p w14:paraId="6E94D14A">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"_Toc236786426" </w:instrText>
      </w:r>
      <w:r>
        <w:fldChar w:fldCharType="separate"/>
      </w:r>
      <w:r>
        <w:rPr>
          <w:rStyle w:val="22"/>
        </w:rPr>
        <w:t>Tabel 4. 4</w:t>
      </w:r>
      <w:r>
        <w:rPr>
          <w:rStyle w:val="22"/>
          <w:lang w:val="en-US"/>
        </w:rPr>
        <w:t xml:space="preserve"> Ringkasan Ablasi Mekanisme IFPOA-X</w:t>
      </w:r>
      <w:r>
        <w:tab/>
      </w:r>
      <w:r>
        <w:fldChar w:fldCharType="begin"/>
      </w:r>
      <w:r>
        <w:instrText xml:space="preserve"> PAGEREF _Toc236786426 \h </w:instrText>
      </w:r>
      <w:r>
        <w:fldChar w:fldCharType="separate"/>
      </w:r>
      <w:r>
        <w:t>75</w:t>
      </w:r>
      <w:r>
        <w:fldChar w:fldCharType="end"/>
      </w:r>
      <w:r>
        <w:fldChar w:fldCharType="end"/>
      </w:r>
    </w:p>
    <w:p w14:paraId="5E2E096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"_Toc236786427" </w:instrText>
      </w:r>
      <w:r>
        <w:fldChar w:fldCharType="separate"/>
      </w:r>
      <w:r>
        <w:rPr>
          <w:rStyle w:val="22"/>
        </w:rPr>
        <w:t>Tabel 4. 5</w:t>
      </w:r>
      <w:r>
        <w:rPr>
          <w:rStyle w:val="22"/>
          <w:lang w:val="en-US"/>
        </w:rPr>
        <w:t xml:space="preserve"> Statistik Deskriptif Curah Hujan Dasarian Hasil Preprocessing</w:t>
      </w:r>
      <w:r>
        <w:tab/>
      </w:r>
      <w:r>
        <w:fldChar w:fldCharType="begin"/>
      </w:r>
      <w:r>
        <w:instrText xml:space="preserve"> PAGEREF _Toc236786427 \h </w:instrText>
      </w:r>
      <w:r>
        <w:fldChar w:fldCharType="separate"/>
      </w:r>
      <w:r>
        <w:t>78</w:t>
      </w:r>
      <w:r>
        <w:fldChar w:fldCharType="end"/>
      </w:r>
      <w:r>
        <w:fldChar w:fldCharType="end"/>
      </w:r>
    </w:p>
    <w:p w14:paraId="272BA8A2">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"_Toc236786428" </w:instrText>
      </w:r>
      <w:r>
        <w:fldChar w:fldCharType="separate"/>
      </w:r>
      <w:r>
        <w:rPr>
          <w:rStyle w:val="22"/>
        </w:rPr>
        <w:t>Tabel 4. 6</w:t>
      </w:r>
      <w:r>
        <w:rPr>
          <w:rStyle w:val="22"/>
          <w:lang w:val="en-US"/>
        </w:rPr>
        <w:t xml:space="preserve"> Fitur Masukan pada Skema Final</w:t>
      </w:r>
      <w:r>
        <w:tab/>
      </w:r>
      <w:r>
        <w:fldChar w:fldCharType="begin"/>
      </w:r>
      <w:r>
        <w:instrText xml:space="preserve"> PAGEREF _Toc236786428 \h </w:instrText>
      </w:r>
      <w:r>
        <w:fldChar w:fldCharType="separate"/>
      </w:r>
      <w:r>
        <w:t>81</w:t>
      </w:r>
      <w:r>
        <w:fldChar w:fldCharType="end"/>
      </w:r>
      <w:r>
        <w:fldChar w:fldCharType="end"/>
      </w:r>
    </w:p>
    <w:p w14:paraId="50F11E2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"_Toc236786429" </w:instrText>
      </w:r>
      <w:r>
        <w:fldChar w:fldCharType="separate"/>
      </w:r>
      <w:r>
        <w:rPr>
          <w:rStyle w:val="22"/>
        </w:rPr>
        <w:t>Tabel 4. 7</w:t>
      </w:r>
      <w:r>
        <w:rPr>
          <w:rStyle w:val="22"/>
          <w:lang w:val="en-US"/>
        </w:rPr>
        <w:t xml:space="preserve"> Matriks RMSE Terbaik Hasil HPO Combined</w:t>
      </w:r>
      <w:r>
        <w:tab/>
      </w:r>
      <w:r>
        <w:fldChar w:fldCharType="begin"/>
      </w:r>
      <w:r>
        <w:instrText xml:space="preserve"> PAGEREF _Toc236786429 \h </w:instrText>
      </w:r>
      <w:r>
        <w:fldChar w:fldCharType="separate"/>
      </w:r>
      <w:r>
        <w:t>82</w:t>
      </w:r>
      <w:r>
        <w:fldChar w:fldCharType="end"/>
      </w:r>
      <w:r>
        <w:fldChar w:fldCharType="end"/>
      </w:r>
    </w:p>
    <w:p w14:paraId="4D1D9235">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"_Toc236786430" </w:instrText>
      </w:r>
      <w:r>
        <w:fldChar w:fldCharType="separate"/>
      </w:r>
      <w:r>
        <w:rPr>
          <w:rStyle w:val="22"/>
        </w:rPr>
        <w:t>Tabel 4. 8</w:t>
      </w:r>
      <w:r>
        <w:rPr>
          <w:rStyle w:val="22"/>
          <w:lang w:val="en-US"/>
        </w:rPr>
        <w:t xml:space="preserve"> Ranking Lengkap 20 Kombinasi HPO × Model</w:t>
      </w:r>
      <w:r>
        <w:tab/>
      </w:r>
      <w:r>
        <w:fldChar w:fldCharType="begin"/>
      </w:r>
      <w:r>
        <w:instrText xml:space="preserve"> PAGEREF _Toc236786430 \h </w:instrText>
      </w:r>
      <w:r>
        <w:fldChar w:fldCharType="separate"/>
      </w:r>
      <w:r>
        <w:t>82</w:t>
      </w:r>
      <w:r>
        <w:fldChar w:fldCharType="end"/>
      </w:r>
      <w:r>
        <w:fldChar w:fldCharType="end"/>
      </w:r>
    </w:p>
    <w:p w14:paraId="027EDA44">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"_Toc236786431" </w:instrText>
      </w:r>
      <w:r>
        <w:fldChar w:fldCharType="separate"/>
      </w:r>
      <w:r>
        <w:rPr>
          <w:rStyle w:val="22"/>
        </w:rPr>
        <w:t>Tabel 4. 9</w:t>
      </w:r>
      <w:r>
        <w:rPr>
          <w:rStyle w:val="22"/>
          <w:lang w:val="en-US"/>
        </w:rPr>
        <w:t xml:space="preserve"> Konfigurasi </w:t>
      </w:r>
      <w:r>
        <w:rPr>
          <w:rStyle w:val="22"/>
          <w:i/>
          <w:lang w:val="en-US"/>
        </w:rPr>
        <w:t>Hyperparameter</w:t>
      </w:r>
      <w:r>
        <w:rPr>
          <w:rStyle w:val="22"/>
          <w:lang w:val="en-US"/>
        </w:rPr>
        <w:t xml:space="preserve"> Terbaik Hasil HPO</w:t>
      </w:r>
      <w:r>
        <w:tab/>
      </w:r>
      <w:r>
        <w:fldChar w:fldCharType="begin"/>
      </w:r>
      <w:r>
        <w:instrText xml:space="preserve"> PAGEREF _Toc236786431 \h </w:instrText>
      </w:r>
      <w:r>
        <w:fldChar w:fldCharType="separate"/>
      </w:r>
      <w:r>
        <w:t>88</w:t>
      </w:r>
      <w:r>
        <w:fldChar w:fldCharType="end"/>
      </w:r>
      <w:r>
        <w:fldChar w:fldCharType="end"/>
      </w:r>
    </w:p>
    <w:p w14:paraId="5788227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"_Toc236786432" </w:instrText>
      </w:r>
      <w:r>
        <w:fldChar w:fldCharType="separate"/>
      </w:r>
      <w:r>
        <w:rPr>
          <w:rStyle w:val="22"/>
        </w:rPr>
        <w:t>Tabel 4. 10</w:t>
      </w:r>
      <w:r>
        <w:rPr>
          <w:rStyle w:val="22"/>
          <w:lang w:val="en-US"/>
        </w:rPr>
        <w:t xml:space="preserve"> Ranking Final Model setelah </w:t>
      </w:r>
      <w:r>
        <w:rPr>
          <w:rStyle w:val="22"/>
          <w:i/>
          <w:lang w:val="en-US"/>
        </w:rPr>
        <w:t>Retraining</w:t>
      </w:r>
      <w:r>
        <w:tab/>
      </w:r>
      <w:r>
        <w:fldChar w:fldCharType="begin"/>
      </w:r>
      <w:r>
        <w:instrText xml:space="preserve"> PAGEREF _Toc236786432 \h </w:instrText>
      </w:r>
      <w:r>
        <w:fldChar w:fldCharType="separate"/>
      </w:r>
      <w:r>
        <w:t>91</w:t>
      </w:r>
      <w:r>
        <w:fldChar w:fldCharType="end"/>
      </w:r>
      <w:r>
        <w:fldChar w:fldCharType="end"/>
      </w:r>
    </w:p>
    <w:p w14:paraId="1C9F1F2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"_Toc236786433" </w:instrText>
      </w:r>
      <w:r>
        <w:fldChar w:fldCharType="separate"/>
      </w:r>
      <w:r>
        <w:rPr>
          <w:rStyle w:val="22"/>
        </w:rPr>
        <w:t>Tabel 4. 11</w:t>
      </w:r>
      <w:r>
        <w:rPr>
          <w:rStyle w:val="22"/>
          <w:lang w:val="en-US"/>
        </w:rPr>
        <w:t xml:space="preserve"> Evaluasi Multi-Horizon ToMarx</w:t>
      </w:r>
      <w:r>
        <w:tab/>
      </w:r>
      <w:r>
        <w:fldChar w:fldCharType="begin"/>
      </w:r>
      <w:r>
        <w:instrText xml:space="preserve"> PAGEREF _Toc236786433 \h </w:instrText>
      </w:r>
      <w:r>
        <w:fldChar w:fldCharType="separate"/>
      </w:r>
      <w:r>
        <w:t>94</w:t>
      </w:r>
      <w:r>
        <w:fldChar w:fldCharType="end"/>
      </w:r>
      <w:r>
        <w:fldChar w:fldCharType="end"/>
      </w:r>
    </w:p>
    <w:p w14:paraId="1F7BDA11">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"_Toc236786434" </w:instrText>
      </w:r>
      <w:r>
        <w:fldChar w:fldCharType="separate"/>
      </w:r>
      <w:r>
        <w:rPr>
          <w:rStyle w:val="22"/>
        </w:rPr>
        <w:t>Tabel 4. 12</w:t>
      </w:r>
      <w:r>
        <w:rPr>
          <w:rStyle w:val="22"/>
          <w:lang w:val="en-US"/>
        </w:rPr>
        <w:t xml:space="preserve"> Ringkasan Ketahanan Regional ToMarx pada 10 Wilayah Sumber</w:t>
      </w:r>
      <w:r>
        <w:tab/>
      </w:r>
      <w:r>
        <w:fldChar w:fldCharType="begin"/>
      </w:r>
      <w:r>
        <w:instrText xml:space="preserve"> PAGEREF _Toc236786434 \h </w:instrText>
      </w:r>
      <w:r>
        <w:fldChar w:fldCharType="separate"/>
      </w:r>
      <w:r>
        <w:t>95</w:t>
      </w:r>
      <w:r>
        <w:fldChar w:fldCharType="end"/>
      </w:r>
      <w:r>
        <w:fldChar w:fldCharType="end"/>
      </w:r>
    </w:p>
    <w:p w14:paraId="6D69740C">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"_Toc236786435" </w:instrText>
      </w:r>
      <w:r>
        <w:fldChar w:fldCharType="separate"/>
      </w:r>
      <w:r>
        <w:rPr>
          <w:rStyle w:val="22"/>
          <w:rFonts w:cs="Times New Roman"/>
          <w:bCs/>
        </w:rPr>
        <w:t>Tabel 4. 13</w:t>
      </w:r>
      <w:r>
        <w:rPr>
          <w:rStyle w:val="22"/>
          <w:rFonts w:cs="Times New Roman"/>
          <w:bCs/>
          <w:lang w:val="en-US"/>
        </w:rPr>
        <w:t xml:space="preserve"> Hasil uji statistik perbandingan model pada wilayah </w:t>
      </w:r>
      <w:r>
        <w:rPr>
          <w:rStyle w:val="22"/>
          <w:rFonts w:cs="Times New Roman"/>
          <w:bCs/>
          <w:i/>
          <w:lang w:val="en-US"/>
        </w:rPr>
        <w:t>combined</w:t>
      </w:r>
      <w:r>
        <w:tab/>
      </w:r>
      <w:r>
        <w:fldChar w:fldCharType="begin"/>
      </w:r>
      <w:r>
        <w:instrText xml:space="preserve"> PAGEREF _Toc236786435 \h </w:instrText>
      </w:r>
      <w:r>
        <w:fldChar w:fldCharType="separate"/>
      </w:r>
      <w:r>
        <w:t>97</w:t>
      </w:r>
      <w:r>
        <w:fldChar w:fldCharType="end"/>
      </w:r>
      <w:r>
        <w:fldChar w:fldCharType="end"/>
      </w:r>
    </w:p>
    <w:p w14:paraId="0195E135">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"_Toc236786436" </w:instrText>
      </w:r>
      <w:r>
        <w:fldChar w:fldCharType="separate"/>
      </w:r>
      <w:r>
        <w:rPr>
          <w:rStyle w:val="22"/>
        </w:rPr>
        <w:t>Tabel 4. 14</w:t>
      </w:r>
      <w:r>
        <w:rPr>
          <w:rStyle w:val="22"/>
          <w:lang w:val="en-US"/>
        </w:rPr>
        <w:t xml:space="preserve"> Performa Akhir ToMarx Setelah </w:t>
      </w:r>
      <w:r>
        <w:rPr>
          <w:rStyle w:val="22"/>
          <w:i/>
          <w:lang w:val="en-US"/>
        </w:rPr>
        <w:t>Staged</w:t>
      </w:r>
      <w:r>
        <w:rPr>
          <w:rStyle w:val="22"/>
          <w:lang w:val="en-US"/>
        </w:rPr>
        <w:t xml:space="preserve"> </w:t>
      </w:r>
      <w:r>
        <w:rPr>
          <w:rStyle w:val="22"/>
          <w:i/>
          <w:lang w:val="en-US"/>
        </w:rPr>
        <w:t>Unfreeze</w:t>
      </w:r>
      <w:r>
        <w:tab/>
      </w:r>
      <w:r>
        <w:fldChar w:fldCharType="begin"/>
      </w:r>
      <w:r>
        <w:instrText xml:space="preserve"> PAGEREF _Toc236786436 \h </w:instrText>
      </w:r>
      <w:r>
        <w:fldChar w:fldCharType="separate"/>
      </w:r>
      <w:r>
        <w:t>101</w:t>
      </w:r>
      <w:r>
        <w:fldChar w:fldCharType="end"/>
      </w:r>
      <w:r>
        <w:fldChar w:fldCharType="end"/>
      </w:r>
    </w:p>
    <w:p w14:paraId="2CD35C6A">
      <w:pPr>
        <w:spacing w:line="240" w:lineRule="auto"/>
      </w:pPr>
      <w:r>
        <w:fldChar w:fldCharType="end"/>
      </w:r>
    </w:p>
    <w:p w14:paraId="438D249A">
      <w:pPr>
        <w:spacing w:after="0" w:line="240" w:lineRule="auto"/>
        <w:rPr>
          <w:lang w:val="en-US"/>
        </w:rPr>
      </w:pPr>
      <w:r>
        <w:rPr>
          <w:lang w:val="en-US"/>
        </w:rPr>
        <w:br w:type="page"/>
      </w:r>
    </w:p>
    <w:p w14:paraId="18C1F679">
      <w:pPr>
        <w:pStyle w:val="2"/>
      </w:pPr>
      <w:bookmarkStart w:id="10" w:name="_Toc236076712"/>
      <w:r>
        <w:t>DAFTAR GAMBAR</w:t>
      </w:r>
      <w:bookmarkEnd w:id="10"/>
    </w:p>
    <w:p w14:paraId="64194138">
      <w:pPr>
        <w:pStyle w:val="26"/>
        <w:tabs>
          <w:tab w:val="right" w:leader="dot" w:pos="7927"/>
        </w:tabs>
        <w:spacing w:line="240" w:lineRule="auto"/>
        <w:rPr>
          <w:rFonts w:asciiTheme="minorHAnsi" w:hAnsiTheme="minorHAnsi" w:eastAsiaTheme="minorEastAsia" w:cstheme="minorBidi"/>
          <w:sz w:val="22"/>
        </w:rPr>
      </w:pPr>
      <w:r>
        <w:rPr>
          <w:lang w:val="en-US"/>
        </w:rPr>
        <w:fldChar w:fldCharType="begin"/>
      </w:r>
      <w:r>
        <w:rPr>
          <w:lang w:val="en-US"/>
        </w:rPr>
        <w:instrText xml:space="preserve"> TOC \h \z \c "Gambar 2." </w:instrText>
      </w:r>
      <w:r>
        <w:rPr>
          <w:lang w:val="en-US"/>
        </w:rPr>
        <w:fldChar w:fldCharType="separate"/>
      </w:r>
      <w:r>
        <w:fldChar w:fldCharType="begin"/>
      </w:r>
      <w:r>
        <w:instrText xml:space="preserve"> HYPERLINK \l "_Toc236077365" </w:instrText>
      </w:r>
      <w:r>
        <w:fldChar w:fldCharType="separate"/>
      </w:r>
      <w:r>
        <w:rPr>
          <w:rStyle w:val="22"/>
        </w:rPr>
        <w:t>Gambar 2.</w:t>
      </w:r>
      <w:r>
        <w:rPr>
          <w:rStyle w:val="22"/>
          <w:lang w:val="en-US"/>
        </w:rPr>
        <w:t xml:space="preserve"> </w:t>
      </w:r>
      <w:r>
        <w:rPr>
          <w:rStyle w:val="22"/>
        </w:rPr>
        <w:t>1 Arsitektur Transformer</w:t>
      </w:r>
      <w:r>
        <w:tab/>
      </w:r>
      <w:r>
        <w:fldChar w:fldCharType="begin"/>
      </w:r>
      <w:r>
        <w:instrText xml:space="preserve"> PAGEREF _Toc236077365 \h </w:instrText>
      </w:r>
      <w:r>
        <w:fldChar w:fldCharType="separate"/>
      </w:r>
      <w:r>
        <w:t>10</w:t>
      </w:r>
      <w:r>
        <w:fldChar w:fldCharType="end"/>
      </w:r>
      <w:r>
        <w:fldChar w:fldCharType="end"/>
      </w:r>
    </w:p>
    <w:p w14:paraId="37E7E33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"_Toc236077366" </w:instrText>
      </w:r>
      <w:r>
        <w:fldChar w:fldCharType="separate"/>
      </w:r>
      <w:r>
        <w:rPr>
          <w:rStyle w:val="22"/>
        </w:rPr>
        <w:t>Gambar 2. 2 Landscape Konveks</w:t>
      </w:r>
      <w:r>
        <w:tab/>
      </w:r>
      <w:r>
        <w:fldChar w:fldCharType="begin"/>
      </w:r>
      <w:r>
        <w:instrText xml:space="preserve"> PAGEREF _Toc236077366 \h </w:instrText>
      </w:r>
      <w:r>
        <w:fldChar w:fldCharType="separate"/>
      </w:r>
      <w:r>
        <w:t>14</w:t>
      </w:r>
      <w:r>
        <w:fldChar w:fldCharType="end"/>
      </w:r>
      <w:r>
        <w:fldChar w:fldCharType="end"/>
      </w:r>
    </w:p>
    <w:p w14:paraId="5603FDE8">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"_Toc236077367" </w:instrText>
      </w:r>
      <w:r>
        <w:fldChar w:fldCharType="separate"/>
      </w:r>
      <w:r>
        <w:rPr>
          <w:rStyle w:val="22"/>
        </w:rPr>
        <w:t>Gambar 2.</w:t>
      </w:r>
      <w:r>
        <w:rPr>
          <w:rStyle w:val="22"/>
          <w:lang w:val="en-US"/>
        </w:rPr>
        <w:t xml:space="preserve"> </w:t>
      </w:r>
      <w:r>
        <w:rPr>
          <w:rStyle w:val="22"/>
        </w:rPr>
        <w:t>3 Landscape Non-Konveks</w:t>
      </w:r>
      <w:r>
        <w:tab/>
      </w:r>
      <w:r>
        <w:fldChar w:fldCharType="begin"/>
      </w:r>
      <w:r>
        <w:instrText xml:space="preserve"> PAGEREF _Toc236077367 \h </w:instrText>
      </w:r>
      <w:r>
        <w:fldChar w:fldCharType="separate"/>
      </w:r>
      <w:r>
        <w:t>14</w:t>
      </w:r>
      <w:r>
        <w:fldChar w:fldCharType="end"/>
      </w:r>
      <w:r>
        <w:fldChar w:fldCharType="end"/>
      </w:r>
    </w:p>
    <w:p w14:paraId="72309A1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"_Toc236077368" </w:instrText>
      </w:r>
      <w:r>
        <w:fldChar w:fldCharType="separate"/>
      </w:r>
      <w:r>
        <w:rPr>
          <w:rStyle w:val="22"/>
        </w:rPr>
        <w:t>Gambar 2.</w:t>
      </w:r>
      <w:r>
        <w:rPr>
          <w:rStyle w:val="22"/>
          <w:lang w:val="en-US"/>
        </w:rPr>
        <w:t xml:space="preserve"> </w:t>
      </w:r>
      <w:r>
        <w:rPr>
          <w:rStyle w:val="22"/>
        </w:rPr>
        <w:t>4 Analogi Flower Pollination Algorithm (FPA)</w:t>
      </w:r>
      <w:r>
        <w:tab/>
      </w:r>
      <w:r>
        <w:fldChar w:fldCharType="begin"/>
      </w:r>
      <w:r>
        <w:instrText xml:space="preserve"> PAGEREF _Toc236077368 \h </w:instrText>
      </w:r>
      <w:r>
        <w:fldChar w:fldCharType="separate"/>
      </w:r>
      <w:r>
        <w:t>15</w:t>
      </w:r>
      <w:r>
        <w:fldChar w:fldCharType="end"/>
      </w:r>
      <w:r>
        <w:fldChar w:fldCharType="end"/>
      </w:r>
    </w:p>
    <w:p w14:paraId="4D93C13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"_Toc236077369" </w:instrText>
      </w:r>
      <w:r>
        <w:fldChar w:fldCharType="separate"/>
      </w:r>
      <w:r>
        <w:rPr>
          <w:rStyle w:val="22"/>
        </w:rPr>
        <w:t>Gambar 2.</w:t>
      </w:r>
      <w:r>
        <w:rPr>
          <w:rStyle w:val="22"/>
          <w:lang w:val="en-US"/>
        </w:rPr>
        <w:t xml:space="preserve"> </w:t>
      </w:r>
      <w:r>
        <w:rPr>
          <w:rStyle w:val="22"/>
        </w:rPr>
        <w:t>5</w:t>
      </w:r>
      <w:r>
        <w:rPr>
          <w:rStyle w:val="22"/>
          <w:lang w:val="en-US"/>
        </w:rPr>
        <w:t xml:space="preserve"> Ilustrasi Transfer Learning</w:t>
      </w:r>
      <w:r>
        <w:tab/>
      </w:r>
      <w:r>
        <w:fldChar w:fldCharType="begin"/>
      </w:r>
      <w:r>
        <w:instrText xml:space="preserve"> PAGEREF _Toc236077369 \h </w:instrText>
      </w:r>
      <w:r>
        <w:fldChar w:fldCharType="separate"/>
      </w:r>
      <w:r>
        <w:t>23</w:t>
      </w:r>
      <w:r>
        <w:fldChar w:fldCharType="end"/>
      </w:r>
      <w:r>
        <w:fldChar w:fldCharType="end"/>
      </w:r>
    </w:p>
    <w:p w14:paraId="38682DA1">
      <w:pPr>
        <w:pStyle w:val="26"/>
        <w:tabs>
          <w:tab w:val="right" w:leader="dot" w:pos="7927"/>
        </w:tabs>
        <w:spacing w:line="240" w:lineRule="auto"/>
        <w:rPr>
          <w:lang w:val="en-US"/>
        </w:rPr>
      </w:pPr>
      <w:r>
        <w:fldChar w:fldCharType="begin"/>
      </w:r>
      <w:r>
        <w:instrText xml:space="preserve"> HYPERLINK \l "_Toc236077370" </w:instrText>
      </w:r>
      <w:r>
        <w:fldChar w:fldCharType="separate"/>
      </w:r>
      <w:r>
        <w:rPr>
          <w:rStyle w:val="22"/>
        </w:rPr>
        <w:t>Gambar 2.</w:t>
      </w:r>
      <w:r>
        <w:rPr>
          <w:rStyle w:val="22"/>
          <w:lang w:val="en-US"/>
        </w:rPr>
        <w:t xml:space="preserve"> </w:t>
      </w:r>
      <w:r>
        <w:rPr>
          <w:rStyle w:val="22"/>
        </w:rPr>
        <w:t>6 Pola Distribusi Curah Hujan Indonesia</w:t>
      </w:r>
      <w:r>
        <w:tab/>
      </w:r>
      <w:r>
        <w:fldChar w:fldCharType="begin"/>
      </w:r>
      <w:r>
        <w:instrText xml:space="preserve"> PAGEREF _Toc236077370 \h </w:instrText>
      </w:r>
      <w:r>
        <w:fldChar w:fldCharType="separate"/>
      </w:r>
      <w:r>
        <w:t>26</w:t>
      </w:r>
      <w:r>
        <w:fldChar w:fldCharType="end"/>
      </w:r>
      <w:r>
        <w:fldChar w:fldCharType="end"/>
      </w:r>
      <w:r>
        <w:rPr>
          <w:lang w:val="en-US"/>
        </w:rPr>
        <w:fldChar w:fldCharType="end"/>
      </w:r>
    </w:p>
    <w:p w14:paraId="0FAB3A61">
      <w:pPr>
        <w:pStyle w:val="26"/>
        <w:tabs>
          <w:tab w:val="right" w:leader="dot" w:pos="7927"/>
        </w:tabs>
        <w:spacing w:line="240" w:lineRule="auto"/>
        <w:rPr>
          <w:rFonts w:asciiTheme="minorHAnsi" w:hAnsiTheme="minorHAnsi" w:eastAsiaTheme="minorEastAsia" w:cstheme="minorBidi"/>
          <w:sz w:val="22"/>
        </w:rPr>
      </w:pPr>
      <w:r>
        <w:rPr>
          <w:lang w:val="en-US"/>
        </w:rPr>
        <w:fldChar w:fldCharType="begin"/>
      </w:r>
      <w:r>
        <w:rPr>
          <w:lang w:val="en-US"/>
        </w:rPr>
        <w:instrText xml:space="preserve"> TOC \h \z \c "Gambar 3." </w:instrText>
      </w:r>
      <w:r>
        <w:rPr>
          <w:lang w:val="en-US"/>
        </w:rPr>
        <w:fldChar w:fldCharType="separate"/>
      </w:r>
      <w:r>
        <w:fldChar w:fldCharType="begin"/>
      </w:r>
      <w:r>
        <w:instrText xml:space="preserve"> HYPERLINK \l "_Toc236077396" </w:instrText>
      </w:r>
      <w:r>
        <w:fldChar w:fldCharType="separate"/>
      </w:r>
      <w:r>
        <w:rPr>
          <w:rStyle w:val="22"/>
        </w:rPr>
        <w:t>Gambar 3.</w:t>
      </w:r>
      <w:r>
        <w:rPr>
          <w:rStyle w:val="22"/>
          <w:lang w:val="en-US"/>
        </w:rPr>
        <w:t xml:space="preserve"> </w:t>
      </w:r>
      <w:r>
        <w:rPr>
          <w:rStyle w:val="22"/>
        </w:rPr>
        <w:t>1 Gambaran Umum Arsitektur ToMarx</w:t>
      </w:r>
      <w:r>
        <w:tab/>
      </w:r>
      <w:r>
        <w:fldChar w:fldCharType="begin"/>
      </w:r>
      <w:r>
        <w:instrText xml:space="preserve"> PAGEREF _Toc236077396 \h </w:instrText>
      </w:r>
      <w:r>
        <w:fldChar w:fldCharType="separate"/>
      </w:r>
      <w:r>
        <w:t>35</w:t>
      </w:r>
      <w:r>
        <w:fldChar w:fldCharType="end"/>
      </w:r>
      <w:r>
        <w:fldChar w:fldCharType="end"/>
      </w:r>
    </w:p>
    <w:p w14:paraId="36EB5A41">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"_Toc236077397" </w:instrText>
      </w:r>
      <w:r>
        <w:fldChar w:fldCharType="separate"/>
      </w:r>
      <w:r>
        <w:rPr>
          <w:rStyle w:val="22"/>
        </w:rPr>
        <w:t>Gambar 3.</w:t>
      </w:r>
      <w:r>
        <w:rPr>
          <w:rStyle w:val="22"/>
          <w:lang w:val="en-US"/>
        </w:rPr>
        <w:t xml:space="preserve"> </w:t>
      </w:r>
      <w:r>
        <w:rPr>
          <w:rStyle w:val="22"/>
        </w:rPr>
        <w:t>2 Peta Lokasi Wilayah Sumber (Jawa Barat</w:t>
      </w:r>
      <w:r>
        <w:rPr>
          <w:rStyle w:val="22"/>
          <w:lang w:val="en-US"/>
        </w:rPr>
        <w:t xml:space="preserve"> (Monsunal)</w:t>
      </w:r>
      <w:r>
        <w:rPr>
          <w:rStyle w:val="22"/>
        </w:rPr>
        <w:t>)</w:t>
      </w:r>
      <w:r>
        <w:tab/>
      </w:r>
      <w:r>
        <w:fldChar w:fldCharType="begin"/>
      </w:r>
      <w:r>
        <w:instrText xml:space="preserve"> PAGEREF _Toc236077397 \h </w:instrText>
      </w:r>
      <w:r>
        <w:fldChar w:fldCharType="separate"/>
      </w:r>
      <w:r>
        <w:t>38</w:t>
      </w:r>
      <w:r>
        <w:fldChar w:fldCharType="end"/>
      </w:r>
      <w:r>
        <w:fldChar w:fldCharType="end"/>
      </w:r>
    </w:p>
    <w:p w14:paraId="7DF2403C">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"_Toc236077398" </w:instrText>
      </w:r>
      <w:r>
        <w:fldChar w:fldCharType="separate"/>
      </w:r>
      <w:r>
        <w:rPr>
          <w:rStyle w:val="22"/>
        </w:rPr>
        <w:t>Gambar 3.</w:t>
      </w:r>
      <w:r>
        <w:rPr>
          <w:rStyle w:val="22"/>
          <w:lang w:val="en-US"/>
        </w:rPr>
        <w:t xml:space="preserve"> </w:t>
      </w:r>
      <w:r>
        <w:rPr>
          <w:rStyle w:val="22"/>
        </w:rPr>
        <w:t>3 Peta Lokasi Wilayah Target (Padang</w:t>
      </w:r>
      <w:r>
        <w:rPr>
          <w:rStyle w:val="22"/>
          <w:lang w:val="en-US"/>
        </w:rPr>
        <w:t xml:space="preserve"> (</w:t>
      </w:r>
      <w:r>
        <w:rPr>
          <w:rStyle w:val="22"/>
        </w:rPr>
        <w:t>Ekuatorial</w:t>
      </w:r>
      <w:r>
        <w:rPr>
          <w:rStyle w:val="22"/>
          <w:lang w:val="en-US"/>
        </w:rPr>
        <w:t>)</w:t>
      </w:r>
      <w:r>
        <w:rPr>
          <w:rStyle w:val="22"/>
        </w:rPr>
        <w:t>)</w:t>
      </w:r>
      <w:r>
        <w:tab/>
      </w:r>
      <w:r>
        <w:fldChar w:fldCharType="begin"/>
      </w:r>
      <w:r>
        <w:instrText xml:space="preserve"> PAGEREF _Toc236077398 \h </w:instrText>
      </w:r>
      <w:r>
        <w:fldChar w:fldCharType="separate"/>
      </w:r>
      <w:r>
        <w:t>38</w:t>
      </w:r>
      <w:r>
        <w:fldChar w:fldCharType="end"/>
      </w:r>
      <w:r>
        <w:fldChar w:fldCharType="end"/>
      </w:r>
    </w:p>
    <w:p w14:paraId="519728B8">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"_Toc236077399" </w:instrText>
      </w:r>
      <w:r>
        <w:fldChar w:fldCharType="separate"/>
      </w:r>
      <w:r>
        <w:rPr>
          <w:rStyle w:val="22"/>
        </w:rPr>
        <w:t>Gambar 3.</w:t>
      </w:r>
      <w:r>
        <w:rPr>
          <w:rStyle w:val="22"/>
          <w:lang w:val="en-US"/>
        </w:rPr>
        <w:t xml:space="preserve"> </w:t>
      </w:r>
      <w:r>
        <w:rPr>
          <w:rStyle w:val="22"/>
        </w:rPr>
        <w:t>4 Peta Lokasi Wilayah Target (Kupang (Monsunal))</w:t>
      </w:r>
      <w:r>
        <w:tab/>
      </w:r>
      <w:r>
        <w:fldChar w:fldCharType="begin"/>
      </w:r>
      <w:r>
        <w:instrText xml:space="preserve"> PAGEREF _Toc236077399 \h </w:instrText>
      </w:r>
      <w:r>
        <w:fldChar w:fldCharType="separate"/>
      </w:r>
      <w:r>
        <w:t>39</w:t>
      </w:r>
      <w:r>
        <w:fldChar w:fldCharType="end"/>
      </w:r>
      <w:r>
        <w:fldChar w:fldCharType="end"/>
      </w:r>
    </w:p>
    <w:p w14:paraId="2F01FC7A">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"_Toc236077400" </w:instrText>
      </w:r>
      <w:r>
        <w:fldChar w:fldCharType="separate"/>
      </w:r>
      <w:r>
        <w:rPr>
          <w:rStyle w:val="22"/>
        </w:rPr>
        <w:t>Gambar 3.</w:t>
      </w:r>
      <w:r>
        <w:rPr>
          <w:rStyle w:val="22"/>
          <w:lang w:val="en-US"/>
        </w:rPr>
        <w:t xml:space="preserve"> </w:t>
      </w:r>
      <w:r>
        <w:rPr>
          <w:rStyle w:val="22"/>
        </w:rPr>
        <w:t>5 Peta Lokasi Wilayah Target (Ambon (Lokal))</w:t>
      </w:r>
      <w:r>
        <w:tab/>
      </w:r>
      <w:r>
        <w:fldChar w:fldCharType="begin"/>
      </w:r>
      <w:r>
        <w:instrText xml:space="preserve"> PAGEREF _Toc236077400 \h </w:instrText>
      </w:r>
      <w:r>
        <w:fldChar w:fldCharType="separate"/>
      </w:r>
      <w:r>
        <w:t>39</w:t>
      </w:r>
      <w:r>
        <w:fldChar w:fldCharType="end"/>
      </w:r>
      <w:r>
        <w:fldChar w:fldCharType="end"/>
      </w:r>
    </w:p>
    <w:p w14:paraId="7A3FA1CB">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"_Toc236077401" </w:instrText>
      </w:r>
      <w:r>
        <w:fldChar w:fldCharType="separate"/>
      </w:r>
      <w:r>
        <w:rPr>
          <w:rStyle w:val="22"/>
        </w:rPr>
        <w:t>Gambar 3.</w:t>
      </w:r>
      <w:r>
        <w:rPr>
          <w:rStyle w:val="22"/>
          <w:lang w:val="en-US"/>
        </w:rPr>
        <w:t xml:space="preserve"> </w:t>
      </w:r>
      <w:r>
        <w:rPr>
          <w:rStyle w:val="22"/>
        </w:rPr>
        <w:t>6 Arsitektur Preprocessing Data</w:t>
      </w:r>
      <w:r>
        <w:tab/>
      </w:r>
      <w:r>
        <w:fldChar w:fldCharType="begin"/>
      </w:r>
      <w:r>
        <w:instrText xml:space="preserve"> PAGEREF _Toc236077401 \h </w:instrText>
      </w:r>
      <w:r>
        <w:fldChar w:fldCharType="separate"/>
      </w:r>
      <w:r>
        <w:t>42</w:t>
      </w:r>
      <w:r>
        <w:fldChar w:fldCharType="end"/>
      </w:r>
      <w:r>
        <w:fldChar w:fldCharType="end"/>
      </w:r>
    </w:p>
    <w:p w14:paraId="762EE1E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"_Toc236077402" </w:instrText>
      </w:r>
      <w:r>
        <w:fldChar w:fldCharType="separate"/>
      </w:r>
      <w:r>
        <w:rPr>
          <w:rStyle w:val="22"/>
        </w:rPr>
        <w:t>Gambar 3.</w:t>
      </w:r>
      <w:r>
        <w:rPr>
          <w:rStyle w:val="22"/>
          <w:lang w:val="en-US"/>
        </w:rPr>
        <w:t xml:space="preserve"> </w:t>
      </w:r>
      <w:r>
        <w:rPr>
          <w:rStyle w:val="22"/>
        </w:rPr>
        <w:t>7 Arsitektur Transformer Encoder Only</w:t>
      </w:r>
      <w:r>
        <w:tab/>
      </w:r>
      <w:r>
        <w:fldChar w:fldCharType="begin"/>
      </w:r>
      <w:r>
        <w:instrText xml:space="preserve"> PAGEREF _Toc236077402 \h </w:instrText>
      </w:r>
      <w:r>
        <w:fldChar w:fldCharType="separate"/>
      </w:r>
      <w:r>
        <w:t>48</w:t>
      </w:r>
      <w:r>
        <w:fldChar w:fldCharType="end"/>
      </w:r>
      <w:r>
        <w:fldChar w:fldCharType="end"/>
      </w:r>
    </w:p>
    <w:p w14:paraId="7F9D502D">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"_Toc236077403" </w:instrText>
      </w:r>
      <w:r>
        <w:fldChar w:fldCharType="separate"/>
      </w:r>
      <w:r>
        <w:rPr>
          <w:rStyle w:val="22"/>
        </w:rPr>
        <w:t>Gambar 3.</w:t>
      </w:r>
      <w:r>
        <w:rPr>
          <w:rStyle w:val="22"/>
          <w:lang w:val="en-US"/>
        </w:rPr>
        <w:t xml:space="preserve"> </w:t>
      </w:r>
      <w:r>
        <w:rPr>
          <w:rStyle w:val="22"/>
        </w:rPr>
        <w:t>8 Arsitektur Input dan Site Embedding</w:t>
      </w:r>
      <w:r>
        <w:tab/>
      </w:r>
      <w:r>
        <w:fldChar w:fldCharType="begin"/>
      </w:r>
      <w:r>
        <w:instrText xml:space="preserve"> PAGEREF _Toc236077403 \h </w:instrText>
      </w:r>
      <w:r>
        <w:fldChar w:fldCharType="separate"/>
      </w:r>
      <w:r>
        <w:t>49</w:t>
      </w:r>
      <w:r>
        <w:fldChar w:fldCharType="end"/>
      </w:r>
      <w:r>
        <w:fldChar w:fldCharType="end"/>
      </w:r>
    </w:p>
    <w:p w14:paraId="5119D8E4">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"_Toc236077404" </w:instrText>
      </w:r>
      <w:r>
        <w:fldChar w:fldCharType="separate"/>
      </w:r>
      <w:r>
        <w:rPr>
          <w:rStyle w:val="22"/>
        </w:rPr>
        <w:t>Gambar 3.</w:t>
      </w:r>
      <w:r>
        <w:rPr>
          <w:rStyle w:val="22"/>
          <w:lang w:val="en-US"/>
        </w:rPr>
        <w:t xml:space="preserve"> </w:t>
      </w:r>
      <w:r>
        <w:rPr>
          <w:rStyle w:val="22"/>
        </w:rPr>
        <w:t>9 Simulasi Positional Encoding</w:t>
      </w:r>
      <w:r>
        <w:tab/>
      </w:r>
      <w:r>
        <w:fldChar w:fldCharType="begin"/>
      </w:r>
      <w:r>
        <w:instrText xml:space="preserve"> PAGEREF _Toc236077404 \h </w:instrText>
      </w:r>
      <w:r>
        <w:fldChar w:fldCharType="separate"/>
      </w:r>
      <w:r>
        <w:t>50</w:t>
      </w:r>
      <w:r>
        <w:fldChar w:fldCharType="end"/>
      </w:r>
      <w:r>
        <w:fldChar w:fldCharType="end"/>
      </w:r>
    </w:p>
    <w:p w14:paraId="67A2771F">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"_Toc236077405" </w:instrText>
      </w:r>
      <w:r>
        <w:fldChar w:fldCharType="separate"/>
      </w:r>
      <w:r>
        <w:rPr>
          <w:rStyle w:val="22"/>
        </w:rPr>
        <w:t>Gambar 3.</w:t>
      </w:r>
      <w:r>
        <w:rPr>
          <w:rStyle w:val="22"/>
          <w:lang w:val="en-US"/>
        </w:rPr>
        <w:t xml:space="preserve"> </w:t>
      </w:r>
      <w:r>
        <w:rPr>
          <w:rStyle w:val="22"/>
        </w:rPr>
        <w:t>10 Arsitektur Encoder Layer</w:t>
      </w:r>
      <w:r>
        <w:tab/>
      </w:r>
      <w:r>
        <w:fldChar w:fldCharType="begin"/>
      </w:r>
      <w:r>
        <w:instrText xml:space="preserve"> PAGEREF _Toc236077405 \h </w:instrText>
      </w:r>
      <w:r>
        <w:fldChar w:fldCharType="separate"/>
      </w:r>
      <w:r>
        <w:t>51</w:t>
      </w:r>
      <w:r>
        <w:fldChar w:fldCharType="end"/>
      </w:r>
      <w:r>
        <w:fldChar w:fldCharType="end"/>
      </w:r>
    </w:p>
    <w:p w14:paraId="5EC0C75D">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"_Toc236077406" </w:instrText>
      </w:r>
      <w:r>
        <w:fldChar w:fldCharType="separate"/>
      </w:r>
      <w:r>
        <w:rPr>
          <w:rStyle w:val="22"/>
        </w:rPr>
        <w:t>Gambar 3.</w:t>
      </w:r>
      <w:r>
        <w:rPr>
          <w:rStyle w:val="22"/>
          <w:lang w:val="en-US"/>
        </w:rPr>
        <w:t xml:space="preserve"> </w:t>
      </w:r>
      <w:r>
        <w:rPr>
          <w:rStyle w:val="22"/>
        </w:rPr>
        <w:t>11 Arsitektur Pooling</w:t>
      </w:r>
      <w:r>
        <w:tab/>
      </w:r>
      <w:r>
        <w:fldChar w:fldCharType="begin"/>
      </w:r>
      <w:r>
        <w:instrText xml:space="preserve"> PAGEREF _Toc236077406 \h </w:instrText>
      </w:r>
      <w:r>
        <w:fldChar w:fldCharType="separate"/>
      </w:r>
      <w:r>
        <w:t>52</w:t>
      </w:r>
      <w:r>
        <w:fldChar w:fldCharType="end"/>
      </w:r>
      <w:r>
        <w:fldChar w:fldCharType="end"/>
      </w:r>
    </w:p>
    <w:p w14:paraId="24AD123A">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"_Toc236077407" </w:instrText>
      </w:r>
      <w:r>
        <w:fldChar w:fldCharType="separate"/>
      </w:r>
      <w:r>
        <w:rPr>
          <w:rStyle w:val="22"/>
        </w:rPr>
        <w:t>Gambar 3. 12 Arsitektur Algoritma FPA</w:t>
      </w:r>
      <w:r>
        <w:tab/>
      </w:r>
      <w:r>
        <w:fldChar w:fldCharType="begin"/>
      </w:r>
      <w:r>
        <w:instrText xml:space="preserve"> PAGEREF _Toc236077407 \h </w:instrText>
      </w:r>
      <w:r>
        <w:fldChar w:fldCharType="separate"/>
      </w:r>
      <w:r>
        <w:t>53</w:t>
      </w:r>
      <w:r>
        <w:fldChar w:fldCharType="end"/>
      </w:r>
      <w:r>
        <w:fldChar w:fldCharType="end"/>
      </w:r>
    </w:p>
    <w:p w14:paraId="1EA113F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"_Toc236077408" </w:instrText>
      </w:r>
      <w:r>
        <w:fldChar w:fldCharType="separate"/>
      </w:r>
      <w:r>
        <w:rPr>
          <w:rStyle w:val="22"/>
        </w:rPr>
        <w:t>Gambar 3.</w:t>
      </w:r>
      <w:r>
        <w:rPr>
          <w:rStyle w:val="22"/>
          <w:lang w:val="en-US"/>
        </w:rPr>
        <w:t xml:space="preserve"> </w:t>
      </w:r>
      <w:r>
        <w:rPr>
          <w:rStyle w:val="22"/>
        </w:rPr>
        <w:t>13 Arsitektur Algoritma IFPOA-X</w:t>
      </w:r>
      <w:r>
        <w:tab/>
      </w:r>
      <w:r>
        <w:fldChar w:fldCharType="begin"/>
      </w:r>
      <w:r>
        <w:instrText xml:space="preserve"> PAGEREF _Toc236077408 \h </w:instrText>
      </w:r>
      <w:r>
        <w:fldChar w:fldCharType="separate"/>
      </w:r>
      <w:r>
        <w:t>55</w:t>
      </w:r>
      <w:r>
        <w:fldChar w:fldCharType="end"/>
      </w:r>
      <w:r>
        <w:fldChar w:fldCharType="end"/>
      </w:r>
    </w:p>
    <w:p w14:paraId="2486A20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"_Toc236077409" </w:instrText>
      </w:r>
      <w:r>
        <w:fldChar w:fldCharType="separate"/>
      </w:r>
      <w:r>
        <w:rPr>
          <w:rStyle w:val="22"/>
        </w:rPr>
        <w:t>Gambar 3.</w:t>
      </w:r>
      <w:r>
        <w:rPr>
          <w:rStyle w:val="22"/>
          <w:lang w:val="en-US"/>
        </w:rPr>
        <w:t xml:space="preserve"> </w:t>
      </w:r>
      <w:r>
        <w:rPr>
          <w:rStyle w:val="22"/>
        </w:rPr>
        <w:t>14 Tiga Skema Transfer Learning</w:t>
      </w:r>
      <w:r>
        <w:tab/>
      </w:r>
      <w:r>
        <w:fldChar w:fldCharType="begin"/>
      </w:r>
      <w:r>
        <w:instrText xml:space="preserve"> PAGEREF _Toc236077409 \h </w:instrText>
      </w:r>
      <w:r>
        <w:fldChar w:fldCharType="separate"/>
      </w:r>
      <w:r>
        <w:t>63</w:t>
      </w:r>
      <w:r>
        <w:fldChar w:fldCharType="end"/>
      </w:r>
      <w:r>
        <w:fldChar w:fldCharType="end"/>
      </w:r>
    </w:p>
    <w:p w14:paraId="5C019C3C">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"_Toc236077410" </w:instrText>
      </w:r>
      <w:r>
        <w:fldChar w:fldCharType="separate"/>
      </w:r>
      <w:r>
        <w:rPr>
          <w:rStyle w:val="22"/>
        </w:rPr>
        <w:t>Gambar 3.</w:t>
      </w:r>
      <w:r>
        <w:rPr>
          <w:rStyle w:val="22"/>
          <w:lang w:val="en-US"/>
        </w:rPr>
        <w:t xml:space="preserve"> </w:t>
      </w:r>
      <w:r>
        <w:rPr>
          <w:rStyle w:val="22"/>
        </w:rPr>
        <w:t>15 Skema Transfer Learning dari Multi-Site ke Single-Site</w:t>
      </w:r>
      <w:r>
        <w:tab/>
      </w:r>
      <w:r>
        <w:fldChar w:fldCharType="begin"/>
      </w:r>
      <w:r>
        <w:instrText xml:space="preserve"> PAGEREF _Toc236077410 \h </w:instrText>
      </w:r>
      <w:r>
        <w:fldChar w:fldCharType="separate"/>
      </w:r>
      <w:r>
        <w:t>64</w:t>
      </w:r>
      <w:r>
        <w:fldChar w:fldCharType="end"/>
      </w:r>
      <w:r>
        <w:fldChar w:fldCharType="end"/>
      </w:r>
    </w:p>
    <w:p w14:paraId="44D39984">
      <w:pPr>
        <w:pStyle w:val="26"/>
        <w:tabs>
          <w:tab w:val="right" w:leader="dot" w:pos="7927"/>
        </w:tabs>
        <w:spacing w:line="240" w:lineRule="auto"/>
        <w:rPr>
          <w:lang w:val="en-US"/>
        </w:rPr>
      </w:pPr>
      <w:r>
        <w:fldChar w:fldCharType="begin"/>
      </w:r>
      <w:r>
        <w:instrText xml:space="preserve"> HYPERLINK \l "_Toc236077411" </w:instrText>
      </w:r>
      <w:r>
        <w:fldChar w:fldCharType="separate"/>
      </w:r>
      <w:r>
        <w:rPr>
          <w:rStyle w:val="22"/>
        </w:rPr>
        <w:t>Gambar 3.</w:t>
      </w:r>
      <w:r>
        <w:rPr>
          <w:rStyle w:val="22"/>
          <w:lang w:val="en-US"/>
        </w:rPr>
        <w:t xml:space="preserve"> </w:t>
      </w:r>
      <w:r>
        <w:rPr>
          <w:rStyle w:val="22"/>
        </w:rPr>
        <w:t>16 Diagram Alir Penelitian</w:t>
      </w:r>
      <w:r>
        <w:tab/>
      </w:r>
      <w:r>
        <w:fldChar w:fldCharType="begin"/>
      </w:r>
      <w:r>
        <w:instrText xml:space="preserve"> PAGEREF _Toc236077411 \h </w:instrText>
      </w:r>
      <w:r>
        <w:fldChar w:fldCharType="separate"/>
      </w:r>
      <w:r>
        <w:t>65</w:t>
      </w:r>
      <w:r>
        <w:fldChar w:fldCharType="end"/>
      </w:r>
      <w:r>
        <w:fldChar w:fldCharType="end"/>
      </w:r>
      <w:r>
        <w:rPr>
          <w:lang w:val="en-US"/>
        </w:rPr>
        <w:fldChar w:fldCharType="end"/>
      </w:r>
    </w:p>
    <w:p w14:paraId="04B53021">
      <w:pPr>
        <w:pStyle w:val="26"/>
        <w:tabs>
          <w:tab w:val="right" w:leader="dot" w:pos="7927"/>
        </w:tabs>
        <w:spacing w:line="240" w:lineRule="auto"/>
        <w:rPr>
          <w:rFonts w:asciiTheme="minorHAnsi" w:hAnsiTheme="minorHAnsi" w:eastAsiaTheme="minorEastAsia" w:cstheme="minorBidi"/>
          <w:sz w:val="22"/>
        </w:rPr>
      </w:pPr>
      <w:r>
        <w:rPr>
          <w:lang w:val="en-US"/>
        </w:rPr>
        <w:fldChar w:fldCharType="begin"/>
      </w:r>
      <w:r>
        <w:rPr>
          <w:lang w:val="en-US"/>
        </w:rPr>
        <w:instrText xml:space="preserve"> TOC \h \z \c "Gambar 4." </w:instrText>
      </w:r>
      <w:r>
        <w:rPr>
          <w:lang w:val="en-US"/>
        </w:rPr>
        <w:fldChar w:fldCharType="separate"/>
      </w:r>
      <w:r>
        <w:fldChar w:fldCharType="begin"/>
      </w:r>
      <w:r>
        <w:instrText xml:space="preserve"> HYPERLINK \l "_Toc236077412" </w:instrText>
      </w:r>
      <w:r>
        <w:fldChar w:fldCharType="separate"/>
      </w:r>
      <w:r>
        <w:rPr>
          <w:rStyle w:val="22"/>
        </w:rPr>
        <w:t>Gambar 4. 1</w:t>
      </w:r>
      <w:r>
        <w:rPr>
          <w:rStyle w:val="22"/>
          <w:lang w:val="en-US"/>
        </w:rPr>
        <w:t xml:space="preserve"> Kurva konvergensi pada fungsi </w:t>
      </w:r>
      <w:r>
        <w:rPr>
          <w:rStyle w:val="22"/>
          <w:i/>
          <w:lang w:val="en-US"/>
        </w:rPr>
        <w:t>Ackley</w:t>
      </w:r>
      <w:r>
        <w:tab/>
      </w:r>
      <w:r>
        <w:fldChar w:fldCharType="begin"/>
      </w:r>
      <w:r>
        <w:instrText xml:space="preserve"> PAGEREF _Toc236077412 \h </w:instrText>
      </w:r>
      <w:r>
        <w:fldChar w:fldCharType="separate"/>
      </w:r>
      <w:r>
        <w:t>67</w:t>
      </w:r>
      <w:r>
        <w:fldChar w:fldCharType="end"/>
      </w:r>
      <w:r>
        <w:fldChar w:fldCharType="end"/>
      </w:r>
    </w:p>
    <w:p w14:paraId="360406E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"_Toc236077413" </w:instrText>
      </w:r>
      <w:r>
        <w:fldChar w:fldCharType="separate"/>
      </w:r>
      <w:r>
        <w:rPr>
          <w:rStyle w:val="22"/>
        </w:rPr>
        <w:t>Gambar 4. 2</w:t>
      </w:r>
      <w:r>
        <w:rPr>
          <w:rStyle w:val="22"/>
          <w:lang w:val="en-US"/>
        </w:rPr>
        <w:t xml:space="preserve"> Kurva konvergensi pada fungsi </w:t>
      </w:r>
      <w:r>
        <w:rPr>
          <w:rStyle w:val="22"/>
          <w:i/>
          <w:lang w:val="en-US"/>
        </w:rPr>
        <w:t>Rastrigin</w:t>
      </w:r>
      <w:r>
        <w:tab/>
      </w:r>
      <w:r>
        <w:fldChar w:fldCharType="begin"/>
      </w:r>
      <w:r>
        <w:instrText xml:space="preserve"> PAGEREF _Toc236077413 \h </w:instrText>
      </w:r>
      <w:r>
        <w:fldChar w:fldCharType="separate"/>
      </w:r>
      <w:r>
        <w:t>68</w:t>
      </w:r>
      <w:r>
        <w:fldChar w:fldCharType="end"/>
      </w:r>
      <w:r>
        <w:fldChar w:fldCharType="end"/>
      </w:r>
    </w:p>
    <w:p w14:paraId="538AA0F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"_Toc236077414" </w:instrText>
      </w:r>
      <w:r>
        <w:fldChar w:fldCharType="separate"/>
      </w:r>
      <w:r>
        <w:rPr>
          <w:rStyle w:val="22"/>
        </w:rPr>
        <w:t>Gambar 4. 3</w:t>
      </w:r>
      <w:r>
        <w:rPr>
          <w:rStyle w:val="22"/>
          <w:lang w:val="en-US"/>
        </w:rPr>
        <w:t xml:space="preserve"> Jejak pencarian algoritma pada proyeksi 2D fungsi </w:t>
      </w:r>
      <w:r>
        <w:rPr>
          <w:rStyle w:val="22"/>
          <w:i/>
          <w:iCs/>
          <w:lang w:val="en-US"/>
        </w:rPr>
        <w:t>Ackley</w:t>
      </w:r>
      <w:r>
        <w:tab/>
      </w:r>
      <w:r>
        <w:fldChar w:fldCharType="begin"/>
      </w:r>
      <w:r>
        <w:instrText xml:space="preserve"> PAGEREF _Toc236077414 \h </w:instrText>
      </w:r>
      <w:r>
        <w:fldChar w:fldCharType="separate"/>
      </w:r>
      <w:r>
        <w:t>68</w:t>
      </w:r>
      <w:r>
        <w:fldChar w:fldCharType="end"/>
      </w:r>
      <w:r>
        <w:fldChar w:fldCharType="end"/>
      </w:r>
    </w:p>
    <w:p w14:paraId="084F0386">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"_Toc236077415" </w:instrText>
      </w:r>
      <w:r>
        <w:fldChar w:fldCharType="separate"/>
      </w:r>
      <w:r>
        <w:rPr>
          <w:rStyle w:val="22"/>
        </w:rPr>
        <w:t>Gambar 4. 4</w:t>
      </w:r>
      <w:r>
        <w:rPr>
          <w:rStyle w:val="22"/>
          <w:lang w:val="en-US"/>
        </w:rPr>
        <w:t xml:space="preserve">  Jejak pencarian algoritma pada proyeksi 3D fungsi </w:t>
      </w:r>
      <w:r>
        <w:rPr>
          <w:rStyle w:val="22"/>
          <w:i/>
          <w:lang w:val="en-US"/>
        </w:rPr>
        <w:t>Ackley</w:t>
      </w:r>
      <w:r>
        <w:tab/>
      </w:r>
      <w:r>
        <w:fldChar w:fldCharType="begin"/>
      </w:r>
      <w:r>
        <w:instrText xml:space="preserve"> PAGEREF _Toc236077415 \h </w:instrText>
      </w:r>
      <w:r>
        <w:fldChar w:fldCharType="separate"/>
      </w:r>
      <w:r>
        <w:t>68</w:t>
      </w:r>
      <w:r>
        <w:fldChar w:fldCharType="end"/>
      </w:r>
      <w:r>
        <w:fldChar w:fldCharType="end"/>
      </w:r>
    </w:p>
    <w:p w14:paraId="5A46D796">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"_Toc236077416" </w:instrText>
      </w:r>
      <w:r>
        <w:fldChar w:fldCharType="separate"/>
      </w:r>
      <w:r>
        <w:rPr>
          <w:rStyle w:val="22"/>
        </w:rPr>
        <w:t>Gambar 4. 5</w:t>
      </w:r>
      <w:r>
        <w:rPr>
          <w:rStyle w:val="22"/>
          <w:lang w:val="en-US"/>
        </w:rPr>
        <w:t xml:space="preserve"> Jejak pencarian algoritma pada proyeksi 2D fungsi </w:t>
      </w:r>
      <w:r>
        <w:rPr>
          <w:rStyle w:val="22"/>
          <w:i/>
          <w:iCs/>
          <w:lang w:val="en-US"/>
        </w:rPr>
        <w:t>Rastrigin</w:t>
      </w:r>
      <w:r>
        <w:tab/>
      </w:r>
      <w:r>
        <w:fldChar w:fldCharType="begin"/>
      </w:r>
      <w:r>
        <w:instrText xml:space="preserve"> PAGEREF _Toc236077416 \h </w:instrText>
      </w:r>
      <w:r>
        <w:fldChar w:fldCharType="separate"/>
      </w:r>
      <w:r>
        <w:t>69</w:t>
      </w:r>
      <w:r>
        <w:fldChar w:fldCharType="end"/>
      </w:r>
      <w:r>
        <w:fldChar w:fldCharType="end"/>
      </w:r>
    </w:p>
    <w:p w14:paraId="6AC9804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"_Toc236077417" </w:instrText>
      </w:r>
      <w:r>
        <w:fldChar w:fldCharType="separate"/>
      </w:r>
      <w:r>
        <w:rPr>
          <w:rStyle w:val="22"/>
        </w:rPr>
        <w:t>Gambar 4. 6</w:t>
      </w:r>
      <w:r>
        <w:rPr>
          <w:rStyle w:val="22"/>
          <w:lang w:val="en-US"/>
        </w:rPr>
        <w:t xml:space="preserve">  Jejak pencarian algoritma pada proyeksi 3D fungsi Rastrigin</w:t>
      </w:r>
      <w:r>
        <w:tab/>
      </w:r>
      <w:r>
        <w:fldChar w:fldCharType="begin"/>
      </w:r>
      <w:r>
        <w:instrText xml:space="preserve"> PAGEREF _Toc236077417 \h </w:instrText>
      </w:r>
      <w:r>
        <w:fldChar w:fldCharType="separate"/>
      </w:r>
      <w:r>
        <w:t>69</w:t>
      </w:r>
      <w:r>
        <w:fldChar w:fldCharType="end"/>
      </w:r>
      <w:r>
        <w:fldChar w:fldCharType="end"/>
      </w:r>
    </w:p>
    <w:p w14:paraId="4F4A845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"_Toc236077418" </w:instrText>
      </w:r>
      <w:r>
        <w:fldChar w:fldCharType="separate"/>
      </w:r>
      <w:r>
        <w:rPr>
          <w:rStyle w:val="22"/>
        </w:rPr>
        <w:t>Gambar 4. 7</w:t>
      </w:r>
      <w:r>
        <w:rPr>
          <w:rStyle w:val="22"/>
          <w:lang w:val="en-US"/>
        </w:rPr>
        <w:t xml:space="preserve"> Kurva konvergensi pada fungsi </w:t>
      </w:r>
      <w:r>
        <w:rPr>
          <w:rStyle w:val="22"/>
          <w:i/>
          <w:lang w:val="en-US"/>
        </w:rPr>
        <w:t>Rosenbrock</w:t>
      </w:r>
      <w:r>
        <w:tab/>
      </w:r>
      <w:r>
        <w:fldChar w:fldCharType="begin"/>
      </w:r>
      <w:r>
        <w:instrText xml:space="preserve"> PAGEREF _Toc236077418 \h </w:instrText>
      </w:r>
      <w:r>
        <w:fldChar w:fldCharType="separate"/>
      </w:r>
      <w:r>
        <w:t>70</w:t>
      </w:r>
      <w:r>
        <w:fldChar w:fldCharType="end"/>
      </w:r>
      <w:r>
        <w:fldChar w:fldCharType="end"/>
      </w:r>
    </w:p>
    <w:p w14:paraId="78C332E6">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"_Toc236077419" </w:instrText>
      </w:r>
      <w:r>
        <w:fldChar w:fldCharType="separate"/>
      </w:r>
      <w:r>
        <w:rPr>
          <w:rStyle w:val="22"/>
        </w:rPr>
        <w:t>Gambar 4. 8</w:t>
      </w:r>
      <w:r>
        <w:rPr>
          <w:rStyle w:val="22"/>
          <w:lang w:val="en-US"/>
        </w:rPr>
        <w:t xml:space="preserve"> Jejak pencarian algoritma pada proyeksi 2D fungsi </w:t>
      </w:r>
      <w:r>
        <w:rPr>
          <w:rStyle w:val="22"/>
          <w:i/>
          <w:iCs/>
          <w:lang w:val="en-US"/>
        </w:rPr>
        <w:t>Rosenbrock</w:t>
      </w:r>
      <w:r>
        <w:tab/>
      </w:r>
      <w:r>
        <w:fldChar w:fldCharType="begin"/>
      </w:r>
      <w:r>
        <w:instrText xml:space="preserve"> PAGEREF _Toc236077419 \h </w:instrText>
      </w:r>
      <w:r>
        <w:fldChar w:fldCharType="separate"/>
      </w:r>
      <w:r>
        <w:t>70</w:t>
      </w:r>
      <w:r>
        <w:fldChar w:fldCharType="end"/>
      </w:r>
      <w:r>
        <w:fldChar w:fldCharType="end"/>
      </w:r>
    </w:p>
    <w:p w14:paraId="73849E15">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"_Toc236077420" </w:instrText>
      </w:r>
      <w:r>
        <w:fldChar w:fldCharType="separate"/>
      </w:r>
      <w:r>
        <w:rPr>
          <w:rStyle w:val="22"/>
        </w:rPr>
        <w:t>Gambar 4. 9</w:t>
      </w:r>
      <w:r>
        <w:rPr>
          <w:rStyle w:val="22"/>
          <w:lang w:val="en-US"/>
        </w:rPr>
        <w:t xml:space="preserve"> Jejak pencarian algoritma pada proyeksi 3D fungsi </w:t>
      </w:r>
      <w:r>
        <w:rPr>
          <w:rStyle w:val="22"/>
          <w:i/>
          <w:lang w:val="en-US"/>
        </w:rPr>
        <w:t>Rosenbrock</w:t>
      </w:r>
      <w:r>
        <w:tab/>
      </w:r>
      <w:r>
        <w:fldChar w:fldCharType="begin"/>
      </w:r>
      <w:r>
        <w:instrText xml:space="preserve"> PAGEREF _Toc236077420 \h </w:instrText>
      </w:r>
      <w:r>
        <w:fldChar w:fldCharType="separate"/>
      </w:r>
      <w:r>
        <w:t>71</w:t>
      </w:r>
      <w:r>
        <w:fldChar w:fldCharType="end"/>
      </w:r>
      <w:r>
        <w:fldChar w:fldCharType="end"/>
      </w:r>
    </w:p>
    <w:p w14:paraId="41B187A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"_Toc236077421" </w:instrText>
      </w:r>
      <w:r>
        <w:fldChar w:fldCharType="separate"/>
      </w:r>
      <w:r>
        <w:rPr>
          <w:rStyle w:val="22"/>
          <w:lang w:val="en-US"/>
        </w:rPr>
        <w:t>G</w:t>
      </w:r>
      <w:r>
        <w:rPr>
          <w:rStyle w:val="22"/>
        </w:rPr>
        <w:t>ambar 4. 10</w:t>
      </w:r>
      <w:r>
        <w:rPr>
          <w:rStyle w:val="22"/>
          <w:lang w:val="en-US"/>
        </w:rPr>
        <w:t xml:space="preserve"> Pola musiman bulanan Bogor sebagai wilayah sumber</w:t>
      </w:r>
      <w:r>
        <w:tab/>
      </w:r>
      <w:r>
        <w:fldChar w:fldCharType="begin"/>
      </w:r>
      <w:r>
        <w:instrText xml:space="preserve"> PAGEREF _Toc236077421 \h </w:instrText>
      </w:r>
      <w:r>
        <w:fldChar w:fldCharType="separate"/>
      </w:r>
      <w:r>
        <w:t>79</w:t>
      </w:r>
      <w:r>
        <w:fldChar w:fldCharType="end"/>
      </w:r>
      <w:r>
        <w:fldChar w:fldCharType="end"/>
      </w:r>
    </w:p>
    <w:p w14:paraId="52AD435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"_Toc236077422" </w:instrText>
      </w:r>
      <w:r>
        <w:fldChar w:fldCharType="separate"/>
      </w:r>
      <w:r>
        <w:rPr>
          <w:rStyle w:val="22"/>
        </w:rPr>
        <w:t>Gambar 4. 11</w:t>
      </w:r>
      <w:r>
        <w:rPr>
          <w:rStyle w:val="22"/>
          <w:lang w:val="en-US"/>
        </w:rPr>
        <w:t xml:space="preserve"> Pola musiman bulanan Kupang sebagai target monsunal</w:t>
      </w:r>
      <w:r>
        <w:tab/>
      </w:r>
      <w:r>
        <w:fldChar w:fldCharType="begin"/>
      </w:r>
      <w:r>
        <w:instrText xml:space="preserve"> PAGEREF _Toc236077422 \h </w:instrText>
      </w:r>
      <w:r>
        <w:fldChar w:fldCharType="separate"/>
      </w:r>
      <w:r>
        <w:t>80</w:t>
      </w:r>
      <w:r>
        <w:fldChar w:fldCharType="end"/>
      </w:r>
      <w:r>
        <w:fldChar w:fldCharType="end"/>
      </w:r>
    </w:p>
    <w:p w14:paraId="5BFE4E1B">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"_Toc236077423" </w:instrText>
      </w:r>
      <w:r>
        <w:fldChar w:fldCharType="separate"/>
      </w:r>
      <w:r>
        <w:rPr>
          <w:rStyle w:val="22"/>
        </w:rPr>
        <w:t>Gambar 4. 12</w:t>
      </w:r>
      <w:r>
        <w:rPr>
          <w:rStyle w:val="22"/>
          <w:lang w:val="en-US"/>
        </w:rPr>
        <w:t xml:space="preserve"> Pola musiman bulanan Padang sebagai target ekuatorial</w:t>
      </w:r>
      <w:r>
        <w:tab/>
      </w:r>
      <w:r>
        <w:fldChar w:fldCharType="begin"/>
      </w:r>
      <w:r>
        <w:instrText xml:space="preserve"> PAGEREF _Toc236077423 \h </w:instrText>
      </w:r>
      <w:r>
        <w:fldChar w:fldCharType="separate"/>
      </w:r>
      <w:r>
        <w:t>80</w:t>
      </w:r>
      <w:r>
        <w:fldChar w:fldCharType="end"/>
      </w:r>
      <w:r>
        <w:fldChar w:fldCharType="end"/>
      </w:r>
    </w:p>
    <w:p w14:paraId="46073D4C">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"_Toc236077424" </w:instrText>
      </w:r>
      <w:r>
        <w:fldChar w:fldCharType="separate"/>
      </w:r>
      <w:r>
        <w:rPr>
          <w:rStyle w:val="22"/>
        </w:rPr>
        <w:t>Gambar 4. 13</w:t>
      </w:r>
      <w:r>
        <w:rPr>
          <w:rStyle w:val="22"/>
          <w:lang w:val="en-US"/>
        </w:rPr>
        <w:t xml:space="preserve"> Pola musiman bulanan Padang sebagai target ekuatorial</w:t>
      </w:r>
      <w:r>
        <w:tab/>
      </w:r>
      <w:r>
        <w:fldChar w:fldCharType="begin"/>
      </w:r>
      <w:r>
        <w:instrText xml:space="preserve"> PAGEREF _Toc236077424 \h </w:instrText>
      </w:r>
      <w:r>
        <w:fldChar w:fldCharType="separate"/>
      </w:r>
      <w:r>
        <w:t>80</w:t>
      </w:r>
      <w:r>
        <w:fldChar w:fldCharType="end"/>
      </w:r>
      <w:r>
        <w:fldChar w:fldCharType="end"/>
      </w:r>
    </w:p>
    <w:p w14:paraId="1EC75E22">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"_Toc236077425" </w:instrText>
      </w:r>
      <w:r>
        <w:fldChar w:fldCharType="separate"/>
      </w:r>
      <w:r>
        <w:rPr>
          <w:rStyle w:val="22"/>
        </w:rPr>
        <w:t>Gambar 4. 14</w:t>
      </w:r>
      <w:r>
        <w:rPr>
          <w:rStyle w:val="22"/>
          <w:lang w:val="en-US"/>
        </w:rPr>
        <w:t xml:space="preserve"> Heatmap kinerja terbaik HPO × model</w:t>
      </w:r>
      <w:r>
        <w:tab/>
      </w:r>
      <w:r>
        <w:fldChar w:fldCharType="begin"/>
      </w:r>
      <w:r>
        <w:instrText xml:space="preserve"> PAGEREF _Toc236077425 \h </w:instrText>
      </w:r>
      <w:r>
        <w:fldChar w:fldCharType="separate"/>
      </w:r>
      <w:r>
        <w:t>84</w:t>
      </w:r>
      <w:r>
        <w:fldChar w:fldCharType="end"/>
      </w:r>
      <w:r>
        <w:fldChar w:fldCharType="end"/>
      </w:r>
    </w:p>
    <w:p w14:paraId="617309CD">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"_Toc236077426" </w:instrText>
      </w:r>
      <w:r>
        <w:fldChar w:fldCharType="separate"/>
      </w:r>
      <w:r>
        <w:rPr>
          <w:rStyle w:val="22"/>
        </w:rPr>
        <w:t>Gambar 4. 15</w:t>
      </w:r>
      <w:r>
        <w:rPr>
          <w:rStyle w:val="22"/>
          <w:lang w:val="en-US"/>
        </w:rPr>
        <w:t xml:space="preserve"> </w:t>
      </w:r>
      <w:r>
        <w:rPr>
          <w:rStyle w:val="22"/>
          <w:i/>
          <w:lang w:val="en-US"/>
        </w:rPr>
        <w:t xml:space="preserve">Landscape </w:t>
      </w:r>
      <w:r>
        <w:rPr>
          <w:rStyle w:val="22"/>
          <w:lang w:val="en-US"/>
        </w:rPr>
        <w:t>akurasi vs ketahanan</w:t>
      </w:r>
      <w:r>
        <w:tab/>
      </w:r>
      <w:r>
        <w:fldChar w:fldCharType="begin"/>
      </w:r>
      <w:r>
        <w:instrText xml:space="preserve"> PAGEREF _Toc236077426 \h </w:instrText>
      </w:r>
      <w:r>
        <w:fldChar w:fldCharType="separate"/>
      </w:r>
      <w:r>
        <w:t>85</w:t>
      </w:r>
      <w:r>
        <w:fldChar w:fldCharType="end"/>
      </w:r>
      <w:r>
        <w:fldChar w:fldCharType="end"/>
      </w:r>
    </w:p>
    <w:p w14:paraId="154BFA4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"_Toc236077427" </w:instrText>
      </w:r>
      <w:r>
        <w:fldChar w:fldCharType="separate"/>
      </w:r>
      <w:r>
        <w:rPr>
          <w:rStyle w:val="22"/>
        </w:rPr>
        <w:t>Gambar 4. 16</w:t>
      </w:r>
      <w:r>
        <w:rPr>
          <w:rStyle w:val="22"/>
          <w:lang w:val="en-US"/>
        </w:rPr>
        <w:t xml:space="preserve"> Kurva konvergensi HPO pada </w:t>
      </w:r>
      <w:r>
        <w:rPr>
          <w:rStyle w:val="22"/>
          <w:i/>
          <w:lang w:val="en-US"/>
        </w:rPr>
        <w:t>Transformer Encoder-Only</w:t>
      </w:r>
      <w:r>
        <w:tab/>
      </w:r>
      <w:r>
        <w:fldChar w:fldCharType="begin"/>
      </w:r>
      <w:r>
        <w:instrText xml:space="preserve"> PAGEREF _Toc236077427 \h </w:instrText>
      </w:r>
      <w:r>
        <w:fldChar w:fldCharType="separate"/>
      </w:r>
      <w:r>
        <w:t>86</w:t>
      </w:r>
      <w:r>
        <w:fldChar w:fldCharType="end"/>
      </w:r>
      <w:r>
        <w:fldChar w:fldCharType="end"/>
      </w:r>
    </w:p>
    <w:p w14:paraId="1ECE4D57">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"_Toc236077428" </w:instrText>
      </w:r>
      <w:r>
        <w:fldChar w:fldCharType="separate"/>
      </w:r>
      <w:r>
        <w:rPr>
          <w:rStyle w:val="22"/>
        </w:rPr>
        <w:t>Gambar 4. 17</w:t>
      </w:r>
      <w:r>
        <w:rPr>
          <w:rStyle w:val="22"/>
          <w:lang w:val="en-US"/>
        </w:rPr>
        <w:t xml:space="preserve"> Kurva konvergensi HPO pada </w:t>
      </w:r>
      <w:r>
        <w:rPr>
          <w:rStyle w:val="22"/>
          <w:i/>
          <w:lang w:val="en-US"/>
        </w:rPr>
        <w:t>Transformer Full</w:t>
      </w:r>
      <w:r>
        <w:tab/>
      </w:r>
      <w:r>
        <w:fldChar w:fldCharType="begin"/>
      </w:r>
      <w:r>
        <w:instrText xml:space="preserve"> PAGEREF _Toc236077428 \h </w:instrText>
      </w:r>
      <w:r>
        <w:fldChar w:fldCharType="separate"/>
      </w:r>
      <w:r>
        <w:t>86</w:t>
      </w:r>
      <w:r>
        <w:fldChar w:fldCharType="end"/>
      </w:r>
      <w:r>
        <w:fldChar w:fldCharType="end"/>
      </w:r>
    </w:p>
    <w:p w14:paraId="6B79D5A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"_Toc236077429" </w:instrText>
      </w:r>
      <w:r>
        <w:fldChar w:fldCharType="separate"/>
      </w:r>
      <w:r>
        <w:rPr>
          <w:rStyle w:val="22"/>
        </w:rPr>
        <w:t>Gambar 4. 18</w:t>
      </w:r>
      <w:r>
        <w:rPr>
          <w:rStyle w:val="22"/>
          <w:lang w:val="en-US"/>
        </w:rPr>
        <w:t xml:space="preserve"> Kurva konvergensi HPO pada GRU</w:t>
      </w:r>
      <w:r>
        <w:tab/>
      </w:r>
      <w:r>
        <w:fldChar w:fldCharType="begin"/>
      </w:r>
      <w:r>
        <w:instrText xml:space="preserve"> PAGEREF _Toc236077429 \h </w:instrText>
      </w:r>
      <w:r>
        <w:fldChar w:fldCharType="separate"/>
      </w:r>
      <w:r>
        <w:t>87</w:t>
      </w:r>
      <w:r>
        <w:fldChar w:fldCharType="end"/>
      </w:r>
      <w:r>
        <w:fldChar w:fldCharType="end"/>
      </w:r>
    </w:p>
    <w:p w14:paraId="3C053EDB">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"_Toc236077430" </w:instrText>
      </w:r>
      <w:r>
        <w:fldChar w:fldCharType="separate"/>
      </w:r>
      <w:r>
        <w:rPr>
          <w:rStyle w:val="22"/>
        </w:rPr>
        <w:t>Gambar 4. 19</w:t>
      </w:r>
      <w:r>
        <w:rPr>
          <w:rStyle w:val="22"/>
          <w:lang w:val="en-US"/>
        </w:rPr>
        <w:t xml:space="preserve"> Kurva konvergensi HPO pada </w:t>
      </w:r>
      <w:r>
        <w:rPr>
          <w:rStyle w:val="22"/>
          <w:iCs/>
          <w:lang w:val="en-US"/>
        </w:rPr>
        <w:t>LSTM</w:t>
      </w:r>
      <w:r>
        <w:tab/>
      </w:r>
      <w:r>
        <w:fldChar w:fldCharType="begin"/>
      </w:r>
      <w:r>
        <w:instrText xml:space="preserve"> PAGEREF _Toc236077430 \h </w:instrText>
      </w:r>
      <w:r>
        <w:fldChar w:fldCharType="separate"/>
      </w:r>
      <w:r>
        <w:t>87</w:t>
      </w:r>
      <w:r>
        <w:fldChar w:fldCharType="end"/>
      </w:r>
      <w:r>
        <w:fldChar w:fldCharType="end"/>
      </w:r>
    </w:p>
    <w:p w14:paraId="30492868">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"_Toc236077431" </w:instrText>
      </w:r>
      <w:r>
        <w:fldChar w:fldCharType="separate"/>
      </w:r>
      <w:r>
        <w:rPr>
          <w:rStyle w:val="22"/>
        </w:rPr>
        <w:t>Gambar 4. 20</w:t>
      </w:r>
      <w:r>
        <w:rPr>
          <w:rStyle w:val="22"/>
          <w:lang w:val="en-US"/>
        </w:rPr>
        <w:t xml:space="preserve"> Kurva konvergensi HPO pada BiLSTM</w:t>
      </w:r>
      <w:r>
        <w:tab/>
      </w:r>
      <w:r>
        <w:fldChar w:fldCharType="begin"/>
      </w:r>
      <w:r>
        <w:instrText xml:space="preserve"> PAGEREF _Toc236077431 \h </w:instrText>
      </w:r>
      <w:r>
        <w:fldChar w:fldCharType="separate"/>
      </w:r>
      <w:r>
        <w:t>88</w:t>
      </w:r>
      <w:r>
        <w:fldChar w:fldCharType="end"/>
      </w:r>
      <w:r>
        <w:fldChar w:fldCharType="end"/>
      </w:r>
    </w:p>
    <w:p w14:paraId="019FF740">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"_Toc236077432" </w:instrText>
      </w:r>
      <w:r>
        <w:fldChar w:fldCharType="separate"/>
      </w:r>
      <w:r>
        <w:rPr>
          <w:rStyle w:val="22"/>
        </w:rPr>
        <w:t>Gambar 4. 21</w:t>
      </w:r>
      <w:r>
        <w:rPr>
          <w:rStyle w:val="22"/>
          <w:lang w:val="en-US"/>
        </w:rPr>
        <w:t xml:space="preserve"> Heatmap RMSE per horizon</w:t>
      </w:r>
      <w:r>
        <w:tab/>
      </w:r>
      <w:r>
        <w:fldChar w:fldCharType="begin"/>
      </w:r>
      <w:r>
        <w:instrText xml:space="preserve"> PAGEREF _Toc236077432 \h </w:instrText>
      </w:r>
      <w:r>
        <w:fldChar w:fldCharType="separate"/>
      </w:r>
      <w:r>
        <w:t>92</w:t>
      </w:r>
      <w:r>
        <w:fldChar w:fldCharType="end"/>
      </w:r>
      <w:r>
        <w:fldChar w:fldCharType="end"/>
      </w:r>
    </w:p>
    <w:p w14:paraId="70DD0114">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"_Toc236077433" </w:instrText>
      </w:r>
      <w:r>
        <w:fldChar w:fldCharType="separate"/>
      </w:r>
      <w:r>
        <w:rPr>
          <w:rStyle w:val="22"/>
        </w:rPr>
        <w:t>Gambar 4. 22</w:t>
      </w:r>
      <w:r>
        <w:rPr>
          <w:rStyle w:val="22"/>
          <w:lang w:val="en-US"/>
        </w:rPr>
        <w:t xml:space="preserve"> </w:t>
      </w:r>
      <w:r>
        <w:rPr>
          <w:rStyle w:val="22"/>
        </w:rPr>
        <w:t>Kurva degradasi RMSE per horizon</w:t>
      </w:r>
      <w:r>
        <w:tab/>
      </w:r>
      <w:r>
        <w:fldChar w:fldCharType="begin"/>
      </w:r>
      <w:r>
        <w:instrText xml:space="preserve"> PAGEREF _Toc236077433 \h </w:instrText>
      </w:r>
      <w:r>
        <w:fldChar w:fldCharType="separate"/>
      </w:r>
      <w:r>
        <w:t>92</w:t>
      </w:r>
      <w:r>
        <w:fldChar w:fldCharType="end"/>
      </w:r>
      <w:r>
        <w:fldChar w:fldCharType="end"/>
      </w:r>
    </w:p>
    <w:p w14:paraId="697F4A42">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"_Toc236077434" </w:instrText>
      </w:r>
      <w:r>
        <w:fldChar w:fldCharType="separate"/>
      </w:r>
      <w:r>
        <w:rPr>
          <w:rStyle w:val="22"/>
        </w:rPr>
        <w:t>Gambar 4. 23</w:t>
      </w:r>
      <w:r>
        <w:rPr>
          <w:rStyle w:val="22"/>
          <w:lang w:val="en-US"/>
        </w:rPr>
        <w:t xml:space="preserve"> Deret waktu aktual dan prediksi ToMarx</w:t>
      </w:r>
      <w:r>
        <w:tab/>
      </w:r>
      <w:r>
        <w:fldChar w:fldCharType="begin"/>
      </w:r>
      <w:r>
        <w:instrText xml:space="preserve"> PAGEREF _Toc236077434 \h </w:instrText>
      </w:r>
      <w:r>
        <w:fldChar w:fldCharType="separate"/>
      </w:r>
      <w:r>
        <w:t>93</w:t>
      </w:r>
      <w:r>
        <w:fldChar w:fldCharType="end"/>
      </w:r>
      <w:r>
        <w:fldChar w:fldCharType="end"/>
      </w:r>
    </w:p>
    <w:p w14:paraId="5350C43B">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"_Toc236077435" </w:instrText>
      </w:r>
      <w:r>
        <w:fldChar w:fldCharType="separate"/>
      </w:r>
      <w:r>
        <w:rPr>
          <w:rStyle w:val="22"/>
        </w:rPr>
        <w:t>Gambar 4. 24</w:t>
      </w:r>
      <w:r>
        <w:rPr>
          <w:rStyle w:val="22"/>
          <w:lang w:val="en-US"/>
        </w:rPr>
        <w:t xml:space="preserve"> Trade-off efisiensi komputasi terhadap akurasi model</w:t>
      </w:r>
      <w:r>
        <w:tab/>
      </w:r>
      <w:r>
        <w:fldChar w:fldCharType="begin"/>
      </w:r>
      <w:r>
        <w:instrText xml:space="preserve"> PAGEREF _Toc236077435 \h </w:instrText>
      </w:r>
      <w:r>
        <w:fldChar w:fldCharType="separate"/>
      </w:r>
      <w:r>
        <w:t>96</w:t>
      </w:r>
      <w:r>
        <w:fldChar w:fldCharType="end"/>
      </w:r>
      <w:r>
        <w:fldChar w:fldCharType="end"/>
      </w:r>
    </w:p>
    <w:p w14:paraId="5C84E7BE">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"_Toc236077436" </w:instrText>
      </w:r>
      <w:r>
        <w:fldChar w:fldCharType="separate"/>
      </w:r>
      <w:r>
        <w:rPr>
          <w:rStyle w:val="22"/>
        </w:rPr>
        <w:t>Gambar 4. 25</w:t>
      </w:r>
      <w:r>
        <w:rPr>
          <w:rStyle w:val="22"/>
          <w:lang w:val="en-US"/>
        </w:rPr>
        <w:t xml:space="preserve"> Perubahan RMSE ToMarx pada 3 strategi transfer learning</w:t>
      </w:r>
      <w:r>
        <w:tab/>
      </w:r>
      <w:r>
        <w:fldChar w:fldCharType="begin"/>
      </w:r>
      <w:r>
        <w:instrText xml:space="preserve"> PAGEREF _Toc236077436 \h </w:instrText>
      </w:r>
      <w:r>
        <w:fldChar w:fldCharType="separate"/>
      </w:r>
      <w:r>
        <w:t>98</w:t>
      </w:r>
      <w:r>
        <w:fldChar w:fldCharType="end"/>
      </w:r>
      <w:r>
        <w:fldChar w:fldCharType="end"/>
      </w:r>
    </w:p>
    <w:p w14:paraId="71BB5BD5">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"_Toc236077437" </w:instrText>
      </w:r>
      <w:r>
        <w:fldChar w:fldCharType="separate"/>
      </w:r>
      <w:r>
        <w:rPr>
          <w:rStyle w:val="22"/>
        </w:rPr>
        <w:t>Gambar 4. 26</w:t>
      </w:r>
      <w:r>
        <w:rPr>
          <w:rStyle w:val="22"/>
          <w:lang w:val="en-US"/>
        </w:rPr>
        <w:t xml:space="preserve"> Perubahan RMSE ToMarx pada 3 strategi transfer learning</w:t>
      </w:r>
      <w:r>
        <w:tab/>
      </w:r>
      <w:r>
        <w:fldChar w:fldCharType="begin"/>
      </w:r>
      <w:r>
        <w:instrText xml:space="preserve"> PAGEREF _Toc236077437 \h </w:instrText>
      </w:r>
      <w:r>
        <w:fldChar w:fldCharType="separate"/>
      </w:r>
      <w:r>
        <w:t>99</w:t>
      </w:r>
      <w:r>
        <w:fldChar w:fldCharType="end"/>
      </w:r>
      <w:r>
        <w:fldChar w:fldCharType="end"/>
      </w:r>
    </w:p>
    <w:p w14:paraId="3BBEE53A">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"_Toc236077438" </w:instrText>
      </w:r>
      <w:r>
        <w:fldChar w:fldCharType="separate"/>
      </w:r>
      <w:r>
        <w:rPr>
          <w:rStyle w:val="22"/>
        </w:rPr>
        <w:t>Gambar 4. 27</w:t>
      </w:r>
      <w:r>
        <w:rPr>
          <w:rStyle w:val="22"/>
          <w:lang w:val="en-US"/>
        </w:rPr>
        <w:t xml:space="preserve"> Kinerja akhir ToMarx pada tiga wilayah target</w:t>
      </w:r>
      <w:r>
        <w:tab/>
      </w:r>
      <w:r>
        <w:fldChar w:fldCharType="begin"/>
      </w:r>
      <w:r>
        <w:instrText xml:space="preserve"> PAGEREF _Toc236077438 \h </w:instrText>
      </w:r>
      <w:r>
        <w:fldChar w:fldCharType="separate"/>
      </w:r>
      <w:r>
        <w:t>101</w:t>
      </w:r>
      <w:r>
        <w:fldChar w:fldCharType="end"/>
      </w:r>
      <w:r>
        <w:fldChar w:fldCharType="end"/>
      </w:r>
    </w:p>
    <w:p w14:paraId="256CBCCF">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"_Toc236077439" </w:instrText>
      </w:r>
      <w:r>
        <w:fldChar w:fldCharType="separate"/>
      </w:r>
      <w:r>
        <w:rPr>
          <w:rStyle w:val="22"/>
        </w:rPr>
        <w:t>Gambar 4. 28</w:t>
      </w:r>
      <w:r>
        <w:rPr>
          <w:rStyle w:val="22"/>
          <w:lang w:val="en-US"/>
        </w:rPr>
        <w:t xml:space="preserve"> Sanity check performa ToMarx terhadap baseline</w:t>
      </w:r>
      <w:r>
        <w:tab/>
      </w:r>
      <w:r>
        <w:fldChar w:fldCharType="begin"/>
      </w:r>
      <w:r>
        <w:instrText xml:space="preserve"> PAGEREF _Toc236077439 \h </w:instrText>
      </w:r>
      <w:r>
        <w:fldChar w:fldCharType="separate"/>
      </w:r>
      <w:r>
        <w:t>102</w:t>
      </w:r>
      <w:r>
        <w:fldChar w:fldCharType="end"/>
      </w:r>
      <w:r>
        <w:fldChar w:fldCharType="end"/>
      </w:r>
    </w:p>
    <w:p w14:paraId="579429C3">
      <w:pPr>
        <w:pStyle w:val="26"/>
        <w:tabs>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"_Toc236077440" </w:instrText>
      </w:r>
      <w:r>
        <w:fldChar w:fldCharType="separate"/>
      </w:r>
      <w:r>
        <w:rPr>
          <w:rStyle w:val="22"/>
        </w:rPr>
        <w:t>Gambar 4. 29</w:t>
      </w:r>
      <w:r>
        <w:rPr>
          <w:rStyle w:val="22"/>
          <w:lang w:val="en-US"/>
        </w:rPr>
        <w:t xml:space="preserve"> Deret waktu prediksi H+1 transfer learning</w:t>
      </w:r>
      <w:r>
        <w:tab/>
      </w:r>
      <w:r>
        <w:fldChar w:fldCharType="begin"/>
      </w:r>
      <w:r>
        <w:instrText xml:space="preserve"> PAGEREF _Toc236077440 \h </w:instrText>
      </w:r>
      <w:r>
        <w:fldChar w:fldCharType="separate"/>
      </w:r>
      <w:r>
        <w:t>103</w:t>
      </w:r>
      <w:r>
        <w:fldChar w:fldCharType="end"/>
      </w:r>
      <w:r>
        <w:fldChar w:fldCharType="end"/>
      </w:r>
    </w:p>
    <w:p w14:paraId="6A131280">
      <w:pPr>
        <w:spacing w:line="240" w:lineRule="auto"/>
        <w:rPr>
          <w:lang w:val="en-US"/>
        </w:rPr>
      </w:pPr>
      <w:r>
        <w:rPr>
          <w:lang w:val="en-US"/>
        </w:rPr>
        <w:fldChar w:fldCharType="end"/>
      </w:r>
    </w:p>
    <w:p w14:paraId="78B9B195">
      <w:pPr>
        <w:rPr>
          <w:lang w:val="en-US"/>
        </w:rPr>
      </w:pPr>
    </w:p>
    <w:p w14:paraId="06DE8F5A">
      <w:pPr>
        <w:spacing w:after="0" w:line="240" w:lineRule="auto"/>
        <w:rPr>
          <w:lang w:val="en-US"/>
        </w:rPr>
      </w:pPr>
      <w:r>
        <w:rPr>
          <w:lang w:val="en-US"/>
        </w:rPr>
        <w:br w:type="page"/>
      </w:r>
    </w:p>
    <w:p w14:paraId="232E2AAA">
      <w:pPr>
        <w:pStyle w:val="2"/>
      </w:pPr>
      <w:bookmarkStart w:id="11" w:name="_Toc236076713"/>
      <w:r>
        <w:t>DAFTAR LAMPIRAN</w:t>
      </w:r>
      <w:bookmarkEnd w:id="11"/>
    </w:p>
    <w:p w14:paraId="05591CFC">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TOC \h \z \c "Lampiran" </w:instrText>
      </w:r>
      <w:r>
        <w:fldChar w:fldCharType="separate"/>
      </w:r>
      <w:r>
        <w:fldChar w:fldCharType="begin"/>
      </w:r>
      <w:r>
        <w:instrText xml:space="preserve"> HYPERLINK \l "_Toc236213076" </w:instrText>
      </w:r>
      <w:r>
        <w:fldChar w:fldCharType="separate"/>
      </w:r>
      <w:r>
        <w:rPr>
          <w:rStyle w:val="22"/>
        </w:rPr>
        <w:t>Lampiran 1</w:t>
      </w:r>
      <w:r>
        <w:rPr>
          <w:rFonts w:asciiTheme="minorHAnsi" w:hAnsiTheme="minorHAnsi" w:eastAsiaTheme="minorEastAsia" w:cstheme="minorBidi"/>
          <w:sz w:val="22"/>
        </w:rPr>
        <w:tab/>
      </w:r>
      <w:r>
        <w:rPr>
          <w:rStyle w:val="22"/>
          <w:lang w:val="en-US"/>
        </w:rPr>
        <w:t xml:space="preserve">Daftar </w:t>
      </w:r>
      <w:r>
        <w:rPr>
          <w:rStyle w:val="22"/>
        </w:rPr>
        <w:t>Riwayat</w:t>
      </w:r>
      <w:r>
        <w:rPr>
          <w:rStyle w:val="22"/>
          <w:lang w:val="en-US"/>
        </w:rPr>
        <w:t xml:space="preserve"> Hidup</w:t>
      </w:r>
      <w:r>
        <w:tab/>
      </w:r>
      <w:r>
        <w:fldChar w:fldCharType="begin"/>
      </w:r>
      <w:r>
        <w:instrText xml:space="preserve"> PAGEREF _Toc236213076 \h </w:instrText>
      </w:r>
      <w:r>
        <w:fldChar w:fldCharType="separate"/>
      </w:r>
      <w:r>
        <w:t>115</w:t>
      </w:r>
      <w:r>
        <w:fldChar w:fldCharType="end"/>
      </w:r>
      <w:r>
        <w:fldChar w:fldCharType="end"/>
      </w:r>
    </w:p>
    <w:p w14:paraId="46B9ACCD">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"_Toc236213077" </w:instrText>
      </w:r>
      <w:r>
        <w:fldChar w:fldCharType="separate"/>
      </w:r>
      <w:r>
        <w:rPr>
          <w:rStyle w:val="22"/>
        </w:rPr>
        <w:t>Lampiran 2</w:t>
      </w:r>
      <w:r>
        <w:rPr>
          <w:rFonts w:asciiTheme="minorHAnsi" w:hAnsiTheme="minorHAnsi" w:eastAsiaTheme="minorEastAsia" w:cstheme="minorBidi"/>
          <w:sz w:val="22"/>
        </w:rPr>
        <w:tab/>
      </w:r>
      <w:r>
        <w:rPr>
          <w:rStyle w:val="22"/>
          <w:lang w:val="en-US"/>
        </w:rPr>
        <w:t>Pseudocode IFPOA-X</w:t>
      </w:r>
      <w:r>
        <w:tab/>
      </w:r>
      <w:r>
        <w:fldChar w:fldCharType="begin"/>
      </w:r>
      <w:r>
        <w:instrText xml:space="preserve"> PAGEREF _Toc236213077 \h </w:instrText>
      </w:r>
      <w:r>
        <w:fldChar w:fldCharType="separate"/>
      </w:r>
      <w:r>
        <w:t>119</w:t>
      </w:r>
      <w:r>
        <w:fldChar w:fldCharType="end"/>
      </w:r>
      <w:r>
        <w:fldChar w:fldCharType="end"/>
      </w:r>
    </w:p>
    <w:p w14:paraId="5C270DF9">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"_Toc236213078" </w:instrText>
      </w:r>
      <w:r>
        <w:fldChar w:fldCharType="separate"/>
      </w:r>
      <w:r>
        <w:rPr>
          <w:rStyle w:val="22"/>
        </w:rPr>
        <w:t>Lampiran 3</w:t>
      </w:r>
      <w:r>
        <w:rPr>
          <w:rFonts w:asciiTheme="minorHAnsi" w:hAnsiTheme="minorHAnsi" w:eastAsiaTheme="minorEastAsia" w:cstheme="minorBidi"/>
          <w:sz w:val="22"/>
        </w:rPr>
        <w:tab/>
      </w:r>
      <w:r>
        <w:rPr>
          <w:rStyle w:val="22"/>
          <w:lang w:val="en-US"/>
        </w:rPr>
        <w:t>Transformasi FPA menjadi IFPOA-X</w:t>
      </w:r>
      <w:r>
        <w:tab/>
      </w:r>
      <w:r>
        <w:fldChar w:fldCharType="begin"/>
      </w:r>
      <w:r>
        <w:instrText xml:space="preserve"> PAGEREF _Toc236213078 \h </w:instrText>
      </w:r>
      <w:r>
        <w:fldChar w:fldCharType="separate"/>
      </w:r>
      <w:r>
        <w:t>120</w:t>
      </w:r>
      <w:r>
        <w:fldChar w:fldCharType="end"/>
      </w:r>
      <w:r>
        <w:fldChar w:fldCharType="end"/>
      </w:r>
    </w:p>
    <w:p w14:paraId="614FF55A">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"_Toc236213079" </w:instrText>
      </w:r>
      <w:r>
        <w:fldChar w:fldCharType="separate"/>
      </w:r>
      <w:r>
        <w:rPr>
          <w:rStyle w:val="22"/>
        </w:rPr>
        <w:t>Lampiran 4</w:t>
      </w:r>
      <w:r>
        <w:rPr>
          <w:rFonts w:asciiTheme="minorHAnsi" w:hAnsiTheme="minorHAnsi" w:eastAsiaTheme="minorEastAsia" w:cstheme="minorBidi"/>
          <w:sz w:val="22"/>
        </w:rPr>
        <w:tab/>
      </w:r>
      <w:r>
        <w:rPr>
          <w:rStyle w:val="22"/>
          <w:lang w:val="en-US"/>
        </w:rPr>
        <w:t>Source Code Repository</w:t>
      </w:r>
      <w:r>
        <w:tab/>
      </w:r>
      <w:r>
        <w:fldChar w:fldCharType="begin"/>
      </w:r>
      <w:r>
        <w:instrText xml:space="preserve"> PAGEREF _Toc236213079 \h </w:instrText>
      </w:r>
      <w:r>
        <w:fldChar w:fldCharType="separate"/>
      </w:r>
      <w:r>
        <w:t>121</w:t>
      </w:r>
      <w:r>
        <w:fldChar w:fldCharType="end"/>
      </w:r>
      <w:r>
        <w:fldChar w:fldCharType="end"/>
      </w:r>
    </w:p>
    <w:p w14:paraId="53846D1D">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"_Toc236213080" </w:instrText>
      </w:r>
      <w:r>
        <w:fldChar w:fldCharType="separate"/>
      </w:r>
      <w:r>
        <w:rPr>
          <w:rStyle w:val="22"/>
        </w:rPr>
        <w:t>Lampiran 5</w:t>
      </w:r>
      <w:r>
        <w:rPr>
          <w:rFonts w:asciiTheme="minorHAnsi" w:hAnsiTheme="minorHAnsi" w:eastAsiaTheme="minorEastAsia" w:cstheme="minorBidi"/>
          <w:sz w:val="22"/>
        </w:rPr>
        <w:tab/>
      </w:r>
      <w:r>
        <w:rPr>
          <w:rStyle w:val="22"/>
          <w:lang w:val="en-US"/>
        </w:rPr>
        <w:t>Pola Musiman 9 titik lain di Jawa Barat</w:t>
      </w:r>
      <w:r>
        <w:tab/>
      </w:r>
      <w:r>
        <w:fldChar w:fldCharType="begin"/>
      </w:r>
      <w:r>
        <w:instrText xml:space="preserve"> PAGEREF _Toc236213080 \h </w:instrText>
      </w:r>
      <w:r>
        <w:fldChar w:fldCharType="separate"/>
      </w:r>
      <w:r>
        <w:t>122</w:t>
      </w:r>
      <w:r>
        <w:fldChar w:fldCharType="end"/>
      </w:r>
      <w:r>
        <w:fldChar w:fldCharType="end"/>
      </w:r>
    </w:p>
    <w:p w14:paraId="1A5ACF33">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"_Toc236213081" </w:instrText>
      </w:r>
      <w:r>
        <w:fldChar w:fldCharType="separate"/>
      </w:r>
      <w:r>
        <w:rPr>
          <w:rStyle w:val="22"/>
        </w:rPr>
        <w:t>Lampiran 6</w:t>
      </w:r>
      <w:r>
        <w:rPr>
          <w:rFonts w:asciiTheme="minorHAnsi" w:hAnsiTheme="minorHAnsi" w:eastAsiaTheme="minorEastAsia" w:cstheme="minorBidi"/>
          <w:sz w:val="22"/>
        </w:rPr>
        <w:tab/>
      </w:r>
      <w:r>
        <w:rPr>
          <w:rStyle w:val="22"/>
          <w:lang w:val="en-US"/>
        </w:rPr>
        <w:t>Grafik time series semua model</w:t>
      </w:r>
      <w:r>
        <w:tab/>
      </w:r>
      <w:r>
        <w:fldChar w:fldCharType="begin"/>
      </w:r>
      <w:r>
        <w:instrText xml:space="preserve"> PAGEREF _Toc236213081 \h </w:instrText>
      </w:r>
      <w:r>
        <w:fldChar w:fldCharType="separate"/>
      </w:r>
      <w:r>
        <w:t>123</w:t>
      </w:r>
      <w:r>
        <w:fldChar w:fldCharType="end"/>
      </w:r>
      <w:r>
        <w:fldChar w:fldCharType="end"/>
      </w:r>
    </w:p>
    <w:p w14:paraId="28CB8CF4">
      <w:pPr>
        <w:pStyle w:val="26"/>
        <w:tabs>
          <w:tab w:val="left" w:pos="1540"/>
          <w:tab w:val="right" w:leader="dot" w:pos="7927"/>
        </w:tabs>
        <w:spacing w:line="240" w:lineRule="auto"/>
        <w:rPr>
          <w:rFonts w:asciiTheme="minorHAnsi" w:hAnsiTheme="minorHAnsi" w:eastAsiaTheme="minorEastAsia" w:cstheme="minorBidi"/>
          <w:sz w:val="22"/>
        </w:rPr>
      </w:pPr>
      <w:r>
        <w:fldChar w:fldCharType="begin"/>
      </w:r>
      <w:r>
        <w:instrText xml:space="preserve"> HYPERLINK \l "_Toc236213082" </w:instrText>
      </w:r>
      <w:r>
        <w:fldChar w:fldCharType="separate"/>
      </w:r>
      <w:r>
        <w:rPr>
          <w:rStyle w:val="22"/>
        </w:rPr>
        <w:t>Lampiran 7</w:t>
      </w:r>
      <w:r>
        <w:rPr>
          <w:rFonts w:asciiTheme="minorHAnsi" w:hAnsiTheme="minorHAnsi" w:eastAsiaTheme="minorEastAsia" w:cstheme="minorBidi"/>
          <w:sz w:val="22"/>
        </w:rPr>
        <w:tab/>
      </w:r>
      <w:r>
        <w:rPr>
          <w:rStyle w:val="22"/>
          <w:lang w:val="en-US"/>
        </w:rPr>
        <w:t>Tabel pendukung</w:t>
      </w:r>
      <w:r>
        <w:tab/>
      </w:r>
      <w:r>
        <w:fldChar w:fldCharType="begin"/>
      </w:r>
      <w:r>
        <w:instrText xml:space="preserve"> PAGEREF _Toc236213082 \h </w:instrText>
      </w:r>
      <w:r>
        <w:fldChar w:fldCharType="separate"/>
      </w:r>
      <w:r>
        <w:t>124</w:t>
      </w:r>
      <w:r>
        <w:fldChar w:fldCharType="end"/>
      </w:r>
      <w:r>
        <w:fldChar w:fldCharType="end"/>
      </w:r>
    </w:p>
    <w:p w14:paraId="6DB33053">
      <w:pPr>
        <w:spacing w:line="240" w:lineRule="auto"/>
      </w:pPr>
      <w:r>
        <w:fldChar w:fldCharType="end"/>
      </w:r>
    </w:p>
    <w:p w14:paraId="0E51C6E2"/>
    <w:p w14:paraId="724797B4">
      <w:r>
        <w:br w:type="page"/>
      </w:r>
    </w:p>
    <w:p w14:paraId="3F93B8CB">
      <w:pPr>
        <w:pStyle w:val="2"/>
      </w:pPr>
      <w:bookmarkStart w:id="12" w:name="_Toc236076714"/>
      <w:r>
        <w:t>INTISARI</w:t>
      </w:r>
      <w:bookmarkEnd w:id="12"/>
    </w:p>
    <w:p w14:paraId="21252CDF">
      <w:pPr>
        <w:spacing w:after="200" w:line="276" w:lineRule="auto"/>
        <w:jc w:val="center"/>
        <w:rPr>
          <w:rFonts w:eastAsia="Arial" w:cs="Times New Roman"/>
          <w:b/>
          <w:i/>
          <w:lang w:val="en-US"/>
        </w:rPr>
      </w:pPr>
      <w:r>
        <w:rPr>
          <w:rFonts w:eastAsia="Arial" w:cs="Times New Roman"/>
          <w:b/>
          <w:lang w:val="en-US"/>
        </w:rPr>
        <w:t xml:space="preserve">Pengembangan Algoritma Metaheuristik IFPOA-X Untuk Optimasi Multiobjektif </w:t>
      </w:r>
      <w:r>
        <w:rPr>
          <w:rFonts w:eastAsia="Arial" w:cs="Times New Roman"/>
          <w:b/>
          <w:i/>
          <w:iCs/>
          <w:lang w:val="en-US"/>
        </w:rPr>
        <w:t xml:space="preserve">Transformer </w:t>
      </w:r>
      <w:r>
        <w:rPr>
          <w:rFonts w:eastAsia="Arial" w:cs="Times New Roman"/>
          <w:b/>
          <w:lang w:val="en-US"/>
        </w:rPr>
        <w:t xml:space="preserve">Dalam Peramalan Curah Hujan Dasarian: Studi </w:t>
      </w:r>
      <w:r>
        <w:rPr>
          <w:rFonts w:eastAsia="Arial" w:cs="Times New Roman"/>
          <w:b/>
          <w:i/>
          <w:iCs/>
          <w:lang w:val="en-US"/>
        </w:rPr>
        <w:t xml:space="preserve">Robustness </w:t>
      </w:r>
      <w:r>
        <w:rPr>
          <w:rFonts w:eastAsia="Arial" w:cs="Times New Roman"/>
          <w:b/>
          <w:lang w:val="en-US"/>
        </w:rPr>
        <w:t>Antar-Wilayah Representatif Di Indonesia</w:t>
      </w:r>
    </w:p>
    <w:p w14:paraId="2A373AC9">
      <w:pPr>
        <w:jc w:val="center"/>
        <w:rPr>
          <w:lang w:val="en-US"/>
        </w:rPr>
      </w:pPr>
      <w:r>
        <w:rPr>
          <w:lang w:val="en-US"/>
        </w:rPr>
        <w:t>Oleh</w:t>
      </w:r>
    </w:p>
    <w:p w14:paraId="23D6E758">
      <w:pPr>
        <w:spacing w:line="240" w:lineRule="auto"/>
        <w:jc w:val="center"/>
        <w:rPr>
          <w:lang w:val="en-US"/>
        </w:rPr>
      </w:pPr>
      <w:r>
        <w:rPr>
          <w:lang w:val="en-US"/>
        </w:rPr>
        <w:t>TONNY WAHYU AJI</w:t>
      </w:r>
      <w:r>
        <w:rPr>
          <w:lang w:val="en-US"/>
        </w:rPr>
        <w:br w:type="textWrapping"/>
      </w:r>
      <w:r>
        <w:rPr>
          <w:lang w:val="en-US"/>
        </w:rPr>
        <w:t>41.22.0033</w:t>
      </w:r>
    </w:p>
    <w:p w14:paraId="0675E8E6">
      <w:pPr>
        <w:spacing w:after="0" w:line="240" w:lineRule="auto"/>
        <w:ind w:firstLine="720"/>
        <w:rPr>
          <w:lang w:val="en-US"/>
        </w:rPr>
      </w:pPr>
      <w:r>
        <w:rPr>
          <w:lang w:val="en-US"/>
        </w:rPr>
        <w:t xml:space="preserve">Variabilitas curah hujan di Indonesia, yang dipengaruhi dinamika atmosfer global dan keragaman pola klimatologis, menuntut metode peramalan dasarian yang akurat, </w:t>
      </w:r>
      <w:r>
        <w:rPr>
          <w:i/>
          <w:lang w:val="en-US"/>
        </w:rPr>
        <w:t>robust</w:t>
      </w:r>
      <w:r>
        <w:rPr>
          <w:lang w:val="en-US"/>
        </w:rPr>
        <w:t xml:space="preserve">, dan efisien. Penelitian ini bertujuan mengembangkan dan memvalidasi IFPOA-X untuk </w:t>
      </w:r>
      <w:r>
        <w:rPr>
          <w:i/>
          <w:lang w:val="en-US"/>
        </w:rPr>
        <w:t>hyperparameter optimization</w:t>
      </w:r>
      <w:r>
        <w:rPr>
          <w:lang w:val="en-US"/>
        </w:rPr>
        <w:t xml:space="preserve"> multiobjektif, mengevaluasi kontribusi </w:t>
      </w:r>
      <w:r>
        <w:rPr>
          <w:i/>
          <w:lang w:val="en-US"/>
        </w:rPr>
        <w:t>transfer learning</w:t>
      </w:r>
      <w:r>
        <w:rPr>
          <w:lang w:val="en-US"/>
        </w:rPr>
        <w:t xml:space="preserve">, serta menilai kinerja ToMarx pada pola hujan monsunal, ekuatorial, dan lokal. Data periode 1990–2025 bersumber dari observasi curah hujan BMKG, ERA5-Land, serta indeks MJO, ENSO, dan QBO pada sepuluh lokasi sumber di Jawa Barat dan tiga wilayah target, yaitu Kupang, Padang, dan Ambon. Setelah prapemrosesan dasarian, IFPOA-X divalidasi pada fungsi </w:t>
      </w:r>
      <w:r>
        <w:rPr>
          <w:i/>
          <w:lang w:val="en-US"/>
        </w:rPr>
        <w:t>Ackley, Rastrigin</w:t>
      </w:r>
      <w:r>
        <w:rPr>
          <w:lang w:val="en-US"/>
        </w:rPr>
        <w:t xml:space="preserve">, dan </w:t>
      </w:r>
      <w:r>
        <w:rPr>
          <w:i/>
          <w:lang w:val="en-US"/>
        </w:rPr>
        <w:t>Rosenbrock</w:t>
      </w:r>
      <w:r>
        <w:rPr>
          <w:lang w:val="en-US"/>
        </w:rPr>
        <w:t xml:space="preserve"> terhadap FPA dan PSO, kemudian diterapkan bersama FPA, PSO, dan </w:t>
      </w:r>
      <w:r>
        <w:rPr>
          <w:i/>
          <w:lang w:val="en-US"/>
        </w:rPr>
        <w:t>Bayesian Optimization</w:t>
      </w:r>
      <w:r>
        <w:rPr>
          <w:lang w:val="en-US"/>
        </w:rPr>
        <w:t xml:space="preserve"> untuk mengoptimasi lima arsitektur model. </w:t>
      </w:r>
    </w:p>
    <w:p w14:paraId="74746F6E">
      <w:pPr>
        <w:spacing w:after="0" w:line="240" w:lineRule="auto"/>
        <w:ind w:firstLine="720"/>
        <w:rPr>
          <w:lang w:val="en-US"/>
        </w:rPr>
      </w:pPr>
      <w:r>
        <w:rPr>
          <w:lang w:val="en-US"/>
        </w:rPr>
        <w:t xml:space="preserve">Hasil </w:t>
      </w:r>
      <w:r>
        <w:rPr>
          <w:i/>
          <w:lang w:val="en-US"/>
        </w:rPr>
        <w:t>benchmarking</w:t>
      </w:r>
      <w:r>
        <w:rPr>
          <w:lang w:val="en-US"/>
        </w:rPr>
        <w:t xml:space="preserve"> menunjukkan bahwa IFPOA-X mengungguli FPA dan PSO secara signifikan pada seluruh fungsi uji. Pada tahap HPO, IFPOA-X–GRU menghasilkan RMSE validasi rata-rata H+1–H+6 terbaik secara keseluruhan sebesar 2,9931. Meskipun demikian, </w:t>
      </w:r>
      <w:r>
        <w:rPr>
          <w:i/>
          <w:lang w:val="en-US"/>
        </w:rPr>
        <w:t>Bayesian Optimization</w:t>
      </w:r>
      <w:r>
        <w:rPr>
          <w:lang w:val="en-US"/>
        </w:rPr>
        <w:t xml:space="preserve"> unggul pada empat dari lima arsitektur, termasuk </w:t>
      </w:r>
      <w:r>
        <w:rPr>
          <w:i/>
          <w:lang w:val="en-US"/>
        </w:rPr>
        <w:t>Transformer Encoder-Only</w:t>
      </w:r>
      <w:r>
        <w:rPr>
          <w:lang w:val="en-US"/>
        </w:rPr>
        <w:t xml:space="preserve"> dengan RMSE 2,9934, sedangkan ToMarx berbasis IFPOA-X memperoleh 3,0401. Dalam adaptasi lintas wilayah, </w:t>
      </w:r>
      <w:r>
        <w:rPr>
          <w:i/>
          <w:lang w:val="en-US"/>
        </w:rPr>
        <w:t>staged unfreezing</w:t>
      </w:r>
      <w:r>
        <w:rPr>
          <w:lang w:val="en-US"/>
        </w:rPr>
        <w:t xml:space="preserve"> menurunkan RMSE terhadap </w:t>
      </w:r>
      <w:r>
        <w:rPr>
          <w:i/>
          <w:lang w:val="en-US"/>
        </w:rPr>
        <w:t>zero-shot</w:t>
      </w:r>
      <w:r>
        <w:rPr>
          <w:lang w:val="en-US"/>
        </w:rPr>
        <w:t xml:space="preserve"> sebesar 49,83% di Kupang, 9,13% di Padang, dan 24,76% di Ambon. ToMarx mengungguli persistence pada seluruh wilayah target, tetapi hanya mengungguli klimatologi secara jelas di Ambon. Temuan ini menunjukkan bahwa IFPOA-X kompetitif untuk HPO dan </w:t>
      </w:r>
      <w:r>
        <w:rPr>
          <w:i/>
          <w:lang w:val="en-US"/>
        </w:rPr>
        <w:t>transfer learning</w:t>
      </w:r>
      <w:r>
        <w:rPr>
          <w:lang w:val="en-US"/>
        </w:rPr>
        <w:t xml:space="preserve"> meningkatkan adaptabilitas ToMarx, meskipun generalisasi pada pola ekuatorial serta prediksi hujan ekstrem masih perlu ditingkatkan.</w:t>
      </w:r>
    </w:p>
    <w:p w14:paraId="31E3D1C9">
      <w:pPr>
        <w:spacing w:after="0" w:line="240" w:lineRule="auto"/>
        <w:rPr>
          <w:lang w:val="en-US"/>
        </w:rPr>
      </w:pPr>
    </w:p>
    <w:p w14:paraId="0BF3EB8E">
      <w:pPr>
        <w:spacing w:after="0" w:line="240" w:lineRule="auto"/>
        <w:rPr>
          <w:lang w:val="en-US"/>
        </w:rPr>
      </w:pPr>
      <w:r>
        <w:rPr>
          <w:b/>
          <w:lang w:val="en-US"/>
        </w:rPr>
        <w:t xml:space="preserve">Kata kunci: </w:t>
      </w:r>
      <w:r>
        <w:rPr>
          <w:lang w:val="en-US"/>
        </w:rPr>
        <w:t xml:space="preserve">algoritma metaheuristik, curah hujan dasarian, </w:t>
      </w:r>
      <w:r>
        <w:rPr>
          <w:i/>
          <w:lang w:val="en-US"/>
        </w:rPr>
        <w:t>hyperparameter optimization</w:t>
      </w:r>
      <w:r>
        <w:rPr>
          <w:lang w:val="en-US"/>
        </w:rPr>
        <w:t xml:space="preserve">, </w:t>
      </w:r>
      <w:r>
        <w:rPr>
          <w:i/>
          <w:lang w:val="en-US"/>
        </w:rPr>
        <w:t>transfer learning</w:t>
      </w:r>
      <w:r>
        <w:rPr>
          <w:lang w:val="en-US"/>
        </w:rPr>
        <w:br w:type="page"/>
      </w:r>
      <w:r>
        <w:rPr>
          <w:lang w:val="en-US"/>
        </w:rPr>
        <w:t xml:space="preserve"> </w:t>
      </w:r>
    </w:p>
    <w:p w14:paraId="27A070C4">
      <w:pPr>
        <w:pStyle w:val="2"/>
      </w:pPr>
      <w:bookmarkStart w:id="13" w:name="_Toc236076715"/>
      <w:r>
        <w:t>ABSTRACT</w:t>
      </w:r>
      <w:bookmarkEnd w:id="13"/>
    </w:p>
    <w:p w14:paraId="5112E24C">
      <w:pPr>
        <w:spacing w:after="200" w:line="276" w:lineRule="auto"/>
        <w:jc w:val="center"/>
        <w:rPr>
          <w:rFonts w:eastAsia="Arial" w:cs="Times New Roman"/>
          <w:b/>
          <w:lang w:val="en-US"/>
        </w:rPr>
      </w:pPr>
      <w:r>
        <w:rPr>
          <w:rFonts w:eastAsia="Arial" w:cs="Times New Roman"/>
          <w:b/>
          <w:lang w:val="en-US"/>
        </w:rPr>
        <w:t>Development of The IFPOA-X Metaheuristic Algorithm for Multiobjective Optimization of Transformers in Decadal Rainfall Forecasting: An Inter-Regional Robustness Study in Indonesia</w:t>
      </w:r>
    </w:p>
    <w:p w14:paraId="5C80684E">
      <w:pPr>
        <w:jc w:val="center"/>
        <w:rPr>
          <w:lang w:val="en-US"/>
        </w:rPr>
      </w:pPr>
      <w:r>
        <w:rPr>
          <w:lang w:val="en-US"/>
        </w:rPr>
        <w:t>By</w:t>
      </w:r>
    </w:p>
    <w:p w14:paraId="452E6B5A">
      <w:pPr>
        <w:spacing w:line="240" w:lineRule="auto"/>
        <w:jc w:val="center"/>
        <w:rPr>
          <w:lang w:val="en-US"/>
        </w:rPr>
      </w:pPr>
      <w:r>
        <w:rPr>
          <w:lang w:val="en-US"/>
        </w:rPr>
        <w:t>TONNY WAHYU AJI</w:t>
      </w:r>
      <w:r>
        <w:rPr>
          <w:lang w:val="en-US"/>
        </w:rPr>
        <w:br w:type="textWrapping"/>
      </w:r>
      <w:r>
        <w:rPr>
          <w:lang w:val="en-US"/>
        </w:rPr>
        <w:t>41.22.0033</w:t>
      </w:r>
    </w:p>
    <w:p w14:paraId="20D92E91">
      <w:pPr>
        <w:spacing w:after="0" w:line="240" w:lineRule="auto"/>
        <w:ind w:firstLine="720"/>
        <w:rPr>
          <w:lang w:val="en-US"/>
        </w:rPr>
      </w:pPr>
      <w:r>
        <w:rPr>
          <w:lang w:val="en-US"/>
        </w:rPr>
        <w:t xml:space="preserve">Rainfall variability in Indonesia, driven by global atmospheric dynamics and diverse climatological regimes, necessitates accurate, robust, and computationally efficient dekadal forecasting methods. This study aims to develop and validate IFPOA-X for multi-objective hyperparameter optimization (HPO), evaluate the contribution of transfer learning, and assess ToMarx performance across monsoonal, equatorial, and local rainfall regimes. Data covering 1990–2025 were obtained from BMKG rainfall observations, ERA5-Land, and the MJO, ENSO, and QBO indices for ten source locations in West Java and three target regions: Kupang, Padang, and Ambon. Following dekadal preprocessing, IFPOA-X was validated against FPA and PSO using the Ackley, Rastrigin, and Rosenbrock functions and subsequently applied alongside FPA, PSO, and Bayesian Optimization to optimize five model architectures. </w:t>
      </w:r>
    </w:p>
    <w:p w14:paraId="46DC4678">
      <w:pPr>
        <w:spacing w:after="0" w:line="240" w:lineRule="auto"/>
        <w:ind w:firstLine="720"/>
        <w:rPr>
          <w:lang w:val="en-US"/>
        </w:rPr>
      </w:pPr>
      <w:r>
        <w:rPr>
          <w:lang w:val="en-US"/>
        </w:rPr>
        <w:t>The benchmarking results demonstrated that IFPOA-X significantly outperformed FPA and PSO across all test functions. During HPO, IFPOA-X–GRU achieved the lowest overall mean H+1–H+6 validation RMSE of 2.9931. Nevertheless, Bayesian Optimization performed best in four of the five architectures, including the Transformer Encoder-Only model with an RMSE of 2.9934, whereas the IFPOA-X-based ToMarx achieved 3.0401. For cross-regional adaptation, staged unfreezing reduced RMSE relative to zero-shot evaluation by 49.83% in Kupang, 9.13% in Padang, and 24.76% in Ambon. ToMarx outperformed persistence across all target regions but clearly surpassed climatology only in Ambon. These findings indicate that IFPOA-X is competitive for HPO and that transfer learning improves ToMarx adaptability, although its generalization to equatorial rainfall regimes and extreme-rainfall prediction requires further improvement.</w:t>
      </w:r>
    </w:p>
    <w:p w14:paraId="0B88429D">
      <w:pPr>
        <w:spacing w:after="0" w:line="240" w:lineRule="auto"/>
        <w:rPr>
          <w:lang w:val="en-US"/>
        </w:rPr>
      </w:pPr>
    </w:p>
    <w:p w14:paraId="05702C6C">
      <w:pPr>
        <w:spacing w:after="0" w:line="240" w:lineRule="auto"/>
        <w:rPr>
          <w:i/>
          <w:lang w:val="en-US"/>
        </w:rPr>
        <w:sectPr>
          <w:headerReference r:id="rId7" w:type="first"/>
          <w:headerReference r:id="rId6" w:type="default"/>
          <w:pgSz w:w="11906" w:h="16838"/>
          <w:pgMar w:top="1701" w:right="1701" w:bottom="1701" w:left="2268" w:header="708" w:footer="708" w:gutter="0"/>
          <w:pgNumType w:fmt="lowerRoman"/>
          <w:cols w:space="708" w:num="1"/>
          <w:docGrid w:linePitch="360" w:charSpace="0"/>
        </w:sectPr>
      </w:pPr>
      <w:r>
        <w:rPr>
          <w:b/>
          <w:lang w:val="en-US"/>
        </w:rPr>
        <w:t>Keywords:</w:t>
      </w:r>
      <w:r>
        <w:rPr>
          <w:lang w:val="en-US"/>
        </w:rPr>
        <w:t xml:space="preserve"> metaheuristic algorithm, hyperparameter optimization, transfer learning, decadal rainfall</w:t>
      </w:r>
    </w:p>
    <w:p w14:paraId="3B64E53B">
      <w:pPr>
        <w:pStyle w:val="2"/>
      </w:pPr>
      <w:bookmarkStart w:id="14" w:name="_Toc236076716"/>
      <w:r>
        <w:t xml:space="preserve">BAB I </w:t>
      </w:r>
      <w:r>
        <w:br w:type="textWrapping"/>
      </w:r>
      <w:r>
        <w:t>PENDAHULUAN</w:t>
      </w:r>
      <w:bookmarkEnd w:id="14"/>
    </w:p>
    <w:p w14:paraId="28BAD28A">
      <w:pPr>
        <w:pStyle w:val="3"/>
      </w:pPr>
      <w:bookmarkStart w:id="15" w:name="_Toc236076717"/>
      <w:r>
        <w:t>1.1 Latar Belakang</w:t>
      </w:r>
      <w:bookmarkEnd w:id="15"/>
    </w:p>
    <w:p w14:paraId="222BC443">
      <w:pPr>
        <w:spacing w:after="0"/>
        <w:ind w:firstLine="720"/>
      </w:pPr>
      <w:r>
        <w:t>Variabilitas curah hujan di Indonesia memiliki kompleksitas tinggi akibat karakteristik iklim tro</w:t>
      </w:r>
      <w:r>
        <w:rPr>
          <w:lang w:val="en-US"/>
        </w:rPr>
        <w:t>pis maritim. Hal ini</w:t>
      </w:r>
      <w:r>
        <w:t xml:space="preserve"> berdampak langsung pada peningkatan risiko bencana hidrometeorologi serta stabilitas infrastruktur</w:t>
      </w:r>
      <w:r>
        <w:rPr>
          <w:lang w:val="en-US"/>
        </w:rPr>
        <w:t xml:space="preserve"> </w:t>
      </w:r>
      <w:r>
        <w:rPr>
          <w:lang w:val="en-US"/>
        </w:rPr>
        <w:fldChar w:fldCharType="begin" w:fldLock="1"/>
      </w:r>
      <w:r>
        <w:rPr>
          <w:lang w:val="en-US"/>
        </w:rPr>
        <w:instrText xml:space="preserve">ADDIN CSL_CITATION {"citationItems":[{"id":"ITEM-1","itemData":{"DOI":"10.59141/jist.v5i01.888","author":[{"dropping-particle":"","family":"Aeni","given":"Palsapah","non-dropping-particle":"","parse-names":false,"suffix":""},{"dropping-particle":"","family":"Anwar","given":"Muhammad Khoirul","non-dropping-particle":"","parse-names":false,"suffix":""}],"container-title":"Jurnal Indonesia Sosial Teknologi","id":"ITEM-1","issued":{"date-parts":[["2024"]]},"title":"Hydrometeorological Disaster: Challenges and Mitigation in Indonesia","type":"article-journal"},"uris":["http://www.mendeley.com/documents/?uuid=45810467-2851-4c4a-ad2c-2d121ebb23cd"]}],"mendeley":{"formattedCitation":"(Aeni dan Anwar, 2024)","manualFormatting":"(Aeni dan Anwar, 2024)","plainTextFormattedCitation":"(Aeni dan Anwar, 2024)","previouslyFormattedCitation":"(Aeni dan Anwar, 2024)"},"properties":{"noteIndex":0},"schema":"https://github.com/citation-style-language/schema/raw/master/csl-citation.json"}</w:instrText>
      </w:r>
      <w:r>
        <w:rPr>
          <w:lang w:val="en-US"/>
        </w:rPr>
        <w:fldChar w:fldCharType="separate"/>
      </w:r>
      <w:r>
        <w:rPr>
          <w:lang w:val="en-US"/>
        </w:rPr>
        <w:t>(Aeni dan Anwar, 2024)</w:t>
      </w:r>
      <w:r>
        <w:rPr>
          <w:lang w:val="en-US"/>
        </w:rPr>
        <w:fldChar w:fldCharType="end"/>
      </w:r>
      <w:r>
        <w:t>. Interaksi topografi ekstrem dan dinamika laut-daratan menghasilkan pola presipitasi yang sulit diprediksi</w:t>
      </w:r>
      <w:r>
        <w:rPr>
          <w:lang w:val="en-US"/>
        </w:rPr>
        <w:t xml:space="preserve"> </w:t>
      </w:r>
      <w:r>
        <w:rPr>
          <w:lang w:val="en-US"/>
        </w:rPr>
        <w:fldChar w:fldCharType="begin" w:fldLock="1"/>
      </w:r>
      <w:r>
        <w:rPr>
          <w:lang w:val="en-US"/>
        </w:rPr>
        <w:instrText xml:space="preserve">ADDIN CSL_CITATION {"citationItems":[{"id":"ITEM-1","itemData":{"DOI":"10.1088/1755-1315/1490/1/012050","ISSN":"1755-1315","abstract":"Extreme rainfall has increased in many regions over the Indonesia Maritime Continent (IMC), including the Indonesia’s newly developing capital city of Nusantara (IKN). In the previous research, rain gauge data from five stations of the Agency for Meteorology, Climatology and Geophysics (BMKG) were utilized. The studies showed a slightly increasing trend of rainfall were observed over all stations. Continuing those studies, this paper aims to gain more detailed spatial and temporal rainfall variability by utilizing gridded rainfall data from satellite remote sensing. The historical data over 23-year period of Global Satellite Mapping of Precipitation (GSMaP) and the Climate Hazards Group InfraRed Precipitation with Station data (CHIRPS) have been used to identify long-term trends, spatial patterns, and the relationship between extreme rainfall and topographical conditions, as well as other meteorological factors. The analysis will involve descriptive statistics, temporal trend, and geospatial mapping. Eventually, we expect that the findings could help to improve the water availability for food security system, such as determining cropping patterns at certain periods which is urgently required in the region.","author":[{"dropping-particle":"","family":"Yulianingsani","given":"","non-dropping-particle":"","parse-names":false,"suffix":""},{"dropping-particle":"","family":"Sulistyowati","given":"R","non-dropping-particle":"","parse-names":false,"suffix":""},{"dropping-particle":"","family":"Meliani","given":"F","non-dropping-particle":"","parse-names":false,"suffix":""},{"dropping-particle":"","family":"Sapan","given":"E G A","non-dropping-particle":"","parse-names":false,"suffix":""},{"dropping-particle":"","family":"Winarno","given":"","non-dropping-particle":"","parse-names":false,"suffix":""},{"dropping-particle":"","family":"Lestari","given":"S","non-dropping-particle":"","parse-names":false,"suffix":""},{"dropping-particle":"","family":"Cahyaningtiyas","given":"I F","non-dropping-particle":"","parse-names":false,"suffix":""},{"dropping-particle":"","family":"Pianto","given":"T A","non-dropping-particle":"","parse-names":false,"suffix":""},{"dropping-particle":"","family":"Akbar","given":"H I","non-dropping-particle":"","parse-names":false,"suffix":""},{"dropping-particle":"","family":"Nurdiansyah","given":"","non-dropping-particle":"","parse-names":false,"suffix":""},{"dropping-particle":"","family":"Hermansyah","given":"H","non-dropping-particle":"","parse-names":false,"suffix":""},{"dropping-particle":"","family":"Azmanajaya","given":"E","non-dropping-particle":"","parse-names":false,"suffix":""}],"container-title":"IOP Conference Series: Earth and Environmental Science","id":"ITEM-1","issue":"1","issued":{"date-parts":[["2025"]]},"page":"12050","publisher":"IOP Publishing","title":"Spatio-temporal of climate extreme rainfall variability over the Nusantara Capital City of Indonesia (IKN)","type":"article-journal","volume":"1490"},"uris":["http://www.mendeley.com/documents/?uuid=c7f36701-e187-4d41-82e6-cc21ac9ffb6d"]}],"mendeley":{"formattedCitation":"(Yulianingsani dkk., 2025)","manualFormatting":"(Yulianingsani dkk., 2025)","plainTextFormattedCitation":"(Yulianingsani dkk., 2025)","previouslyFormattedCitation":"(Yulianingsani &lt;i&gt;et al.&lt;/i&gt;, 2025)"},"properties":{"noteIndex":0},"schema":"https://github.com/citation-style-language/schema/raw/master/csl-citation.json"}</w:instrText>
      </w:r>
      <w:r>
        <w:rPr>
          <w:lang w:val="en-US"/>
        </w:rPr>
        <w:fldChar w:fldCharType="separate"/>
      </w:r>
      <w:r>
        <w:rPr>
          <w:lang w:val="en-US"/>
        </w:rPr>
        <w:t>(Yulianingsani dkk</w:t>
      </w:r>
      <w:r>
        <w:rPr>
          <w:i/>
          <w:lang w:val="en-US"/>
        </w:rPr>
        <w:t>.</w:t>
      </w:r>
      <w:r>
        <w:rPr>
          <w:lang w:val="en-US"/>
        </w:rPr>
        <w:t>, 2025)</w:t>
      </w:r>
      <w:r>
        <w:rPr>
          <w:lang w:val="en-US"/>
        </w:rPr>
        <w:fldChar w:fldCharType="end"/>
      </w:r>
      <w:r>
        <w:rPr>
          <w:lang w:val="en-US"/>
        </w:rPr>
        <w:t xml:space="preserve">. </w:t>
      </w:r>
      <w:r>
        <w:t xml:space="preserve">Kompleksitas tantangan ini semakin meningkat akibat pengaruh dinamika atmosfer global, </w:t>
      </w:r>
      <w:r>
        <w:rPr>
          <w:lang w:val="en-US"/>
        </w:rPr>
        <w:t>seperti</w:t>
      </w:r>
      <w:r>
        <w:t xml:space="preserve"> </w:t>
      </w:r>
      <w:r>
        <w:rPr>
          <w:i/>
          <w:iCs/>
        </w:rPr>
        <w:t>Madden-Julian Oscillation</w:t>
      </w:r>
      <w:r>
        <w:t xml:space="preserve"> (MJO), </w:t>
      </w:r>
      <w:r>
        <w:rPr>
          <w:i/>
          <w:iCs/>
        </w:rPr>
        <w:t>Quasi-Biennial Oscillation</w:t>
      </w:r>
      <w:r>
        <w:t xml:space="preserve"> (QBO), serta </w:t>
      </w:r>
      <w:r>
        <w:rPr>
          <w:i/>
          <w:iCs/>
        </w:rPr>
        <w:t>El Niño Southern Oscillation</w:t>
      </w:r>
      <w:r>
        <w:t xml:space="preserve"> (ENSO) </w:t>
      </w:r>
      <w:r>
        <w:fldChar w:fldCharType="begin" w:fldLock="1"/>
      </w:r>
      <w:r>
        <w:instrText xml:space="preserve">ADDIN CSL_CITATION {"citationItems":[{"id":"ITEM-1","itemData":{"DOI":"10.1002/joc.4829","abstract":" ABSTRACT This paper documents the changes in climate extremes over Indonesia during the past three decades (1983–2012) based on a subset of extreme indices recommended by the Expert Team on Climate Change Detection and Indices (ETCCDI). The extreme indices were calculated based on the quality controlled daily observational data (minimum and maximum temperature and precipitation) from 88 weather stations. Overall, we found significant and spatially coherent trends of warming in the temperature indices over Indonesia, consistent with other studies conducted at different countries within the Southeast Asia. The frequency of cool days (TX10p) and cools nights (TN10p) had decreased whereas warm days (TX90p) and warm nights (TN90p) were observed more frequently. Averaged over the country, the annual mean of daily maximum (TXmean) and minimum temperature (TNmean) had increased significantly by 0.18 and 0.30 °C decade−1, respectively. Other temperature indices also showed significant warming trends. In contrast, trends in the precipitation extremes indices were generally not significant and less spatially coherent. However, a tendency towards wetter conditions was observed, in agreement with the results at the global scale. The daily precipitation intensity (SDII) had increased significantly over the country by 0.21 mm day−1 decade−1 during the period studied. At the regional scale, we observed a significant wetting trend in the annual highest daily amount (RX1day) and the rainfall amount contributed by the extremely very wet days (R99p) in the northern part of the country. The wetting trends of a number of extreme precipitation indices were depicted prominently in December–January–February (DJF) and/or March–April–May (MAM) seasons, both at country and regional levels. However, for the southern region of Indonesia, a drying tendency was observed for June–July–August (JJA), September–October–November (SON) and MAM. ","author":[{"dropping-particle":"","family":"Supari","given":"None","non-dropping-particle":"","parse-names":false,"suffix":""},{"dropping-particle":"","family":"Tangang","given":"Fredolin","non-dropping-particle":"","parse-names":false,"suffix":""},{"dropping-particle":"","family":"Juneng","given":"Liew","non-dropping-particle":"","parse-names":false,"suffix":""},{"dropping-particle":"","family":"Aldrian","given":"Edvin","non-dropping-particle":"","parse-names":false,"suffix":""}],"container-title":"International Journal of Climatology","id":"ITEM-1","issue":"4","issued":{"date-parts":[["2016"]]},"page":"1979-1997","title":"Observed Changes in Extreme Temperature and Precipitation Over Indonesia","type":"article-journal","volume":"37"},"uris":["http://www.mendeley.com/documents/?uuid=217fbed8-68a3-46fd-a0bd-2003066b597c"]},{"id":"ITEM-2","itemData":{"DOI":"10.3390/atmos15020187","abstract":"Several investigations have proven the existence of monsoons in Indonesia. However, this has received little attention due to the scientific argument that the region of 10° N–10° S is not monsoonal because it receives precipitation all year round. This study used space–time SVD analysis of atmospheric and oceanic field data for 30 years (1990–2020) to detect monsoon signals and related features. The single-field SVD analysis of rainfall revealed that the first mode accounts for only 33% of the total variance, suggesting it is highly variable. Both the PC space and time series show the well-known monsoon pattern. Further, the Indonesian monsoon regimes and phases are defined based on the revealed rainfall features. The wet season lasts from November to April, accounting for more than 77% of annual precipitation. The coupled-field SVD analyses show that Indonesian monsoon rainfall strongly correlates with local SST (PC1 accounts for 70.4%), and the pattern is associated with the Asian winter monsoon. The heterogonous vector correlation map analysis revealed that the related features during the monsoon, including the strengthening and weakening of subtropical anticyclones, the intertwining of westerly wind in the Indian Ocean, and variations in the north–south dipole structure of the ocean temperature, are linked to variations in Indonesia’s monsoon rainfall. This result can serve as the dynamic basis for defining the Indonesian monsoon index in the context of the center of action.","author":[{"dropping-particle":"","family":"Mulsandi","given":"Adi","non-dropping-particle":"","parse-names":false,"suffix":""},{"dropping-particle":"","family":"Koesmaryono","given":"Yonny","non-dropping-particle":"","parse-names":false,"suffix":""},{"dropping-particle":"","family":"Hidayat","given":"Rahmat","non-dropping-particle":"","parse-names":false,"suffix":""},{"dropping-particle":"","family":"Faqih","given":"Akhmad","non-dropping-particle":"","parse-names":false,"suffix":""},{"dropping-particle":"","family":"Sopaheluwakan","given":"Ardhasena","non-dropping-particle":"","parse-names":false,"suffix":""}],"container-title":"Atmosphere","id":"ITEM-2","issue":"2","issued":{"date-parts":[["2024"]]},"page":"187","title":"Detecting Indonesian Monsoon Signals and Related Features Using Space–Time Singular Value Decomposition (SVD)","type":"article-journal","volume":"15"},"uris":["http://www.mendeley.com/documents/?uuid=8d6d8be9-4e9d-4130-a806-601b4c45ff5d"]},{"id":"ITEM-3","itemData":{"DOI":"10.1088/1755-1315/166/1/012030","ISSN":"1755-1315","abstract":"The research of season onset in Java is very important, considering Java is the center of agriculture in Indonesia. The onset of the rainy and drought season in Java are strongly influenced by global atmospheric phenomena, such as monsoon and El Nino Southern Oscillation (ENSO). This study used spatial analysis from previous researches focusing on insitu data. The data used in this current study based on the downscaling output of atmospheric model with ±15km spatial resolution. The result shows that the season onset deviation in Java Island exist when El Nino and La Nina occurred. When the El Nino (La Nina) occurred, the onset of drought season in Java has a tendency to come faster (slower) than neutral conditions. On the other hand, when El Nino (La Nina) occurs, the onset of rainy season in Java comes slower (faster) compared to the neutral condition. This is probably related to disturbance of monsoon in Indonesia when El Nino and La Nina occurred. The study also confirmed that the effects of El Nino and La Nina in the rainy season are stronger than in the dry season.","author":[{"dropping-particle":"","family":"Satyawardhana","given":"H","non-dropping-particle":"","parse-names":false,"suffix":""},{"dropping-particle":"","family":"Trismidianto","given":"","non-dropping-particle":"","parse-names":false,"suffix":""},{"dropping-particle":"","family":"Yulihastin","given":"E","non-dropping-particle":"","parse-names":false,"suffix":""}],"container-title":"IOP Conference Series: Earth and Environmental Science","id":"ITEM-3","issue":"1","issued":{"date-parts":[["2018"]]},"page":"12030","publisher":"IOP Publishing","title":"Influence of ENSO on Deviation of The Season Onset in Java Based on CCAM Downscaling Data","type":"article-journal","volume":"166"},"uris":["http://www.mendeley.com/documents/?uuid=c6021497-3303-4555-a84c-093bffd4c8a9"]}],"mendeley":{"formattedCitation":"(Mulsandi dkk., 2024; Satyawardhana dkk., 2018; Supari dkk., 2016)","manualFormatting":"(Supari dkk., 2016; Satyawardhana, Trismidianto dan Yulihastin, 2018; Mulsandi dkk., 2024)","plainTextFormattedCitation":"(Mulsandi dkk., 2024; Satyawardhana dkk., 2018; Supari dkk., 2016)","previouslyFormattedCitation":"(Supari &lt;i&gt;et al.&lt;/i&gt;, 2016; Satyawardhana, Trismidianto dan Yulihastin, 2018; Mulsandi &lt;i&gt;et al.&lt;/i&gt;, 2024)"},"properties":{"noteIndex":0},"schema":"https://github.com/citation-style-language/schema/raw/master/csl-citation.json"}</w:instrText>
      </w:r>
      <w:r>
        <w:fldChar w:fldCharType="separate"/>
      </w:r>
      <w:r>
        <w:t>(Supari dkk., 2016; Satyawardhana, Trismidianto dan Yulihastin, 2018; Mulsandi dkk., 2024)</w:t>
      </w:r>
      <w:r>
        <w:fldChar w:fldCharType="end"/>
      </w:r>
      <w:r>
        <w:t xml:space="preserve">. </w:t>
      </w:r>
      <w:r>
        <w:rPr>
          <w:bCs/>
        </w:rPr>
        <w:t xml:space="preserve">Guna menangani </w:t>
      </w:r>
      <w:r>
        <w:rPr>
          <w:bCs/>
          <w:lang w:val="en-US"/>
        </w:rPr>
        <w:t>hal</w:t>
      </w:r>
      <w:r>
        <w:rPr>
          <w:bCs/>
        </w:rPr>
        <w:t xml:space="preserve"> tersebut</w:t>
      </w:r>
      <w:r>
        <w:rPr>
          <w:bCs/>
          <w:lang w:val="en-US"/>
        </w:rPr>
        <w:t xml:space="preserve">, </w:t>
      </w:r>
      <w:r>
        <w:t xml:space="preserve">BMKG </w:t>
      </w:r>
      <w:r>
        <w:rPr>
          <w:bCs/>
        </w:rPr>
        <w:t>secara operasional</w:t>
      </w:r>
      <w:r>
        <w:t xml:space="preserve"> mengadopsi </w:t>
      </w:r>
      <w:r>
        <w:rPr>
          <w:lang w:val="en-US"/>
        </w:rPr>
        <w:t xml:space="preserve">curah hujan </w:t>
      </w:r>
      <w:r>
        <w:t>dasarian karena menawarkan keseimbangan optimal antara resolusi peringatan dini dan stabilitas sektor pertanian</w:t>
      </w:r>
      <w:r>
        <w:rPr>
          <w:lang w:val="en-US"/>
        </w:rPr>
        <w:t xml:space="preserve"> </w:t>
      </w:r>
      <w:r>
        <w:rPr>
          <w:lang w:val="en-US"/>
        </w:rPr>
        <w:fldChar w:fldCharType="begin" w:fldLock="1"/>
      </w:r>
      <w:r>
        <w:rPr>
          <w:lang w:val="en-US"/>
        </w:rPr>
        <w:instrText xml:space="preserve">ADDIN CSL_CITATION {"citationItems":[{"id":"ITEM-1","itemData":{"author":[{"dropping-particle":"","family":"BMKG","given":"","non-dropping-particle":"","parse-names":false,"suffix":""}],"id":"ITEM-1","issued":{"date-parts":[["2021"]]},"language":"Indonesian","publisher":"BMKG","publisher-place":"Jakarta","title":"Prakiraan Iklim Dasarian Indonesia","type":"report"},"uris":["http://www.mendeley.com/documents/?uuid=a7291e04-5a20-4f8c-9b2d-13ad0a2876a1"]}],"mendeley":{"formattedCitation":"(BMKG, 2021)","plainTextFormattedCitation":"(BMKG, 2021)","previouslyFormattedCitation":"(BMKG, 2021)"},"properties":{"noteIndex":0},"schema":"https://github.com/citation-style-language/schema/raw/master/csl-citation.json"}</w:instrText>
      </w:r>
      <w:r>
        <w:rPr>
          <w:lang w:val="en-US"/>
        </w:rPr>
        <w:fldChar w:fldCharType="separate"/>
      </w:r>
      <w:r>
        <w:rPr>
          <w:lang w:val="en-US"/>
        </w:rPr>
        <w:t>(BMKG, 2021)</w:t>
      </w:r>
      <w:r>
        <w:rPr>
          <w:lang w:val="en-US"/>
        </w:rPr>
        <w:fldChar w:fldCharType="end"/>
      </w:r>
      <w:r>
        <w:t xml:space="preserve">. Oleh karena itu, </w:t>
      </w:r>
      <w:r>
        <w:rPr>
          <w:lang w:val="en-US"/>
        </w:rPr>
        <w:t>andil</w:t>
      </w:r>
      <w:r>
        <w:t xml:space="preserve"> teknologi </w:t>
      </w:r>
      <w:r>
        <w:rPr>
          <w:lang w:val="en-US"/>
        </w:rPr>
        <w:t>dalam</w:t>
      </w:r>
      <w:r>
        <w:t xml:space="preserve"> meningkatkan akurasi prediksi dasarian merupakan langkah kunci dalam meminimalkan risiko bencana hidrometeorologi secara signifikan </w:t>
      </w:r>
      <w:r>
        <w:fldChar w:fldCharType="begin" w:fldLock="1"/>
      </w:r>
      <w:r>
        <w:instrText xml:space="preserve">ADDIN CSL_CITATION {"citationItems":[{"id":"ITEM-1","itemData":{"DOI":"10.3390/rs14235950","abstract":"Increasing the accuracy of rainfall forecasts is crucial as an effort to prevent hydrometeorological disasters. Weather changes that can occur suddenly and in a local scope make fast and precise weather forecasts increasingly difficult to inform. Additionally, the results of the numerical weather model used by the Indonesia Agency for Meteorology, Climatology, and Geophysics are only able to predict the rainfall with a temporal resolution of 1–3 h and cannot yet address the need for rainfall information with high spatial and temporal resolution. Therefore, this study aims to provide the rainfall forecast in high spatiotemporal resolution using Himawari-8 and GPM IMERG (Global Precipitation Measurement: The Integrated Multi-satellite Retrievals) data. The multivariate LSTM (long short-term memory) forecasting is employed to predict the cloud brightness temperature by using the selected Himawari-8 bands as the input and training data. For the rain rate regression, we used the random forest technique to identify the rainfall and non-rainfall pixels from GPM IMERG data as the input in advance. The results of the rainfall forecast showed low values of mean error and root mean square error of 0.71 and 1.54 mm/3 h, respectively, compared to the observation data, indicating that the proposed study may help meteorological stations provide the weather information for aviation purposes.","author":[{"dropping-particle":"","family":"Simanjuntak","given":"Febryanto","non-dropping-particle":"","parse-names":false,"suffix":""},{"dropping-particle":"","family":"Jamaluddin","given":"Ilham","non-dropping-particle":"","parse-names":false,"suffix":""},{"dropping-particle":"","family":"Lin","given":"Tang-Huang","non-dropping-particle":"","parse-names":false,"suffix":""},{"dropping-particle":"","family":"Siahaan","given":"Hary Aprianto Wijaya","non-dropping-particle":"","parse-names":false,"suffix":""},{"dropping-particle":"","family":"Chen","given":"Ying-Nong","non-dropping-particle":"","parse-names":false,"suffix":""}],"container-title":"Remote Sensing","id":"ITEM-1","issue":"23","issued":{"date-parts":[["2022"]]},"page":"5950","title":"Rainfall Forecast Using Machine Learning With High Spatiotemporal Satellite Imagery Every 10 Minutes","type":"article-journal","volume":"14"},"uris":["http://www.mendeley.com/documents/?uuid=7e31f57a-3b89-46b2-ae91-bdb361d48702"]}],"mendeley":{"formattedCitation":"(Simanjuntak dkk., 2022)","manualFormatting":"(Simanjuntak dkk., 2022)","plainTextFormattedCitation":"(Simanjuntak dkk., 2022)","previouslyFormattedCitation":"(Simanjuntak &lt;i&gt;et al.&lt;/i&gt;, 2022)"},"properties":{"noteIndex":0},"schema":"https://github.com/citation-style-language/schema/raw/master/csl-citation.json"}</w:instrText>
      </w:r>
      <w:r>
        <w:fldChar w:fldCharType="separate"/>
      </w:r>
      <w:r>
        <w:t>(Simanjuntak dkk., 2022)</w:t>
      </w:r>
      <w:r>
        <w:fldChar w:fldCharType="end"/>
      </w:r>
      <w:r>
        <w:t>.</w:t>
      </w:r>
    </w:p>
    <w:p w14:paraId="041506CD">
      <w:pPr>
        <w:spacing w:after="0"/>
        <w:ind w:firstLine="720"/>
        <w:rPr>
          <w:shd w:val="clear" w:color="auto" w:fill="FFFFFF"/>
          <w:lang w:val="en-US"/>
        </w:rPr>
      </w:pPr>
      <w:r>
        <w:rPr>
          <w:shd w:val="clear" w:color="auto" w:fill="FFFFFF"/>
        </w:rPr>
        <w:t xml:space="preserve">Model statistik tradisional semacam ARIMA dan SARIMA sering kali kurang mampu memodelkan hubungan </w:t>
      </w:r>
      <w:r>
        <w:rPr>
          <w:shd w:val="clear" w:color="auto" w:fill="FFFFFF"/>
          <w:lang w:val="en-US"/>
        </w:rPr>
        <w:t>pola jangka panjang</w:t>
      </w:r>
      <w:r>
        <w:rPr>
          <w:shd w:val="clear" w:color="auto" w:fill="FFFFFF"/>
        </w:rPr>
        <w:t xml:space="preserve"> pada</w:t>
      </w:r>
      <w:r>
        <w:rPr>
          <w:shd w:val="clear" w:color="auto" w:fill="FFFFFF"/>
          <w:lang w:val="en-US"/>
        </w:rPr>
        <w:t>data</w:t>
      </w:r>
      <w:r>
        <w:rPr>
          <w:shd w:val="clear" w:color="auto" w:fill="FFFFFF"/>
        </w:rPr>
        <w:t xml:space="preserve"> </w:t>
      </w:r>
      <w:r>
        <w:rPr>
          <w:i/>
          <w:iCs/>
          <w:shd w:val="clear" w:color="auto" w:fill="FFFFFF"/>
        </w:rPr>
        <w:t xml:space="preserve">time series </w:t>
      </w:r>
      <w:r>
        <w:rPr>
          <w:shd w:val="clear" w:color="auto" w:fill="FFFFFF"/>
        </w:rPr>
        <w:t xml:space="preserve">curah hujan, sehingga performanya menurun pada saat kondisi atmosfer berubah cepat </w:t>
      </w:r>
      <w:r>
        <w:rPr>
          <w:shd w:val="clear" w:color="auto" w:fill="FFFFFF"/>
        </w:rPr>
        <w:fldChar w:fldCharType="begin" w:fldLock="1"/>
      </w:r>
      <w:r>
        <w:rPr>
          <w:shd w:val="clear" w:color="auto" w:fill="FFFFFF"/>
        </w:rPr>
        <w:instrText xml:space="preserve">ADDIN CSL_CITATION {"citationItems":[{"id":"ITEM-1","itemData":{"DOI":"10.1038/s41598-024-77687-x","abstract":"AbstractPredicting rainfall is a challenging and critical task due to its significant impact on society. Timely and accurate predictions are essential for minimizing human and financial losses. The dependence of approximately 60% of agricultural land in India on monsoon rainfall implies the crucial nature of accurate rainfall prediction. Precise rainfall forecasts can facilitate early preparedness for disasters associated with heavy rains, enabling the public and government to take necessary precautions. In the North-Western Himalayas, where meteorological data are limited, the need for improved accuracy in traditional modeling methods for rainfall forecasting is pressing. To address this, our study proposes the application of advanced machine learning (ML) algorithms, including random forest (RF), support vector regression (SVR), artificial neural network (ANN), and k-nearest neighbour (KNN) along with various deep learning (DL) algorithms such as long short-term memory (LSTM), bi-directional LSTM, deep LSTM, gated recurrent unit (GRU), and simple recurrent neural network (RNN). These advanced techniques hold the potential to significantly improve the accuracy of rainfall prediction, offering hope for more reliable forecasts. Additionally, time series techniques, including autoregressive integrated moving average (ARIMA) and trigonometric, Box-Cox transform, arma errors, trend, and seasonal components (TBATS), are proposed for predicting rainfall across the altitudinal gradients of India’s North-Western Himalayas. This approach can potentially revolutionise how we approach rainfall forecasting, ushering in a new era of accuracy and reliability. The effectiveness and accuracy of the proposed algorithms were assessed using meteorological data obtained from six weather stations at different elevations spanning from 1980 to 2021. The results indicate that DL methods exhibit the highest accuracy in predicting rainfall, as measured by the root mean squared error (RMSE) and mean absolute error (MAE), followed by ML algorithms and time series techniques. Among the DL algorithms, the accuracy order was bi-directional LSTM, LSTM, RNN, deep LSTM, and GRU. For the ML algorithms, the accuracy order was ANN, KNN, SVR, and RF. These findings suggest that altitude significantly affects the accuracy of the models, highlighting the need for additional weather stations in this mountainous region to enhance the precision of rainfall prediction.","author":[{"dropping-particle":"","family":"Wani","given":"Owais Ali","non-dropping-particle":"","parse-names":false,"suffix":""},{"dropping-particle":"","family":"Mahdi","given":"Syed Sheraz","non-dropping-particle":"","parse-names":false,"suffix":""},{"dropping-particle":"","family":"Yeasin","given":"Md.","non-dropping-particle":"","parse-names":false,"suffix":""},{"dropping-particle":"","family":"Kumar","given":"Shamal Shasang","non-dropping-particle":"","parse-names":false,"suffix":""},{"dropping-particle":"","family":"Gagnon","given":"Alexandre S","non-dropping-particle":"","parse-names":false,"suffix":""},{"dropping-particle":"","family":"Danish","given":"Faizan","non-dropping-particle":"","parse-names":false,"suffix":""},{"dropping-particle":"","family":"Al-Ansari","given":"Nadhir","non-dropping-particle":"","parse-names":false,"suffix":""},{"dropping-particle":"","family":"El‑Hendawy","given":"Salah","non-dropping-particle":"","parse-names":false,"suffix":""},{"dropping-particle":"","family":"Mattar","given":"Mohamed A","non-dropping-particle":"","parse-names":false,"suffix":""}],"container-title":"Scientific Reports","id":"ITEM-1","issue":"1","issued":{"date-parts":[["2024"]]},"title":"Predicting Rainfall Using Machine Learning, Deep Learning, and Time Series Models Across an Altitudinal Gradient in the North-Western Himalayas","type":"article-journal","volume":"14"},"uris":["http://www.mendeley.com/documents/?uuid=651b0671-7f7c-4a4e-9358-ccbfe3998f49"]}],"mendeley":{"formattedCitation":"(Wani dkk., 2024)","manualFormatting":"(Wani dkk., 2024)","plainTextFormattedCitation":"(Wani dkk., 2024)","previouslyFormattedCitation":"(Wani &lt;i&gt;et al.&lt;/i&gt;, 2024)"},"properties":{"noteIndex":0},"schema":"https://github.com/citation-style-language/schema/raw/master/csl-citation.json"}</w:instrText>
      </w:r>
      <w:r>
        <w:rPr>
          <w:shd w:val="clear" w:color="auto" w:fill="FFFFFF"/>
        </w:rPr>
        <w:fldChar w:fldCharType="separate"/>
      </w:r>
      <w:r>
        <w:rPr>
          <w:shd w:val="clear" w:color="auto" w:fill="FFFFFF"/>
        </w:rPr>
        <w:t>(Wani dkk., 2024)</w:t>
      </w:r>
      <w:r>
        <w:rPr>
          <w:shd w:val="clear" w:color="auto" w:fill="FFFFFF"/>
        </w:rPr>
        <w:fldChar w:fldCharType="end"/>
      </w:r>
      <w:r>
        <w:rPr>
          <w:shd w:val="clear" w:color="auto" w:fill="FFFFFF"/>
        </w:rPr>
        <w:t xml:space="preserve">. </w:t>
      </w:r>
      <w:r>
        <w:rPr>
          <w:shd w:val="clear" w:color="auto" w:fill="FFFFFF"/>
          <w:lang w:val="en-US"/>
        </w:rPr>
        <w:t>Lebih jauh lagi, m</w:t>
      </w:r>
      <w:r>
        <w:rPr>
          <w:shd w:val="clear" w:color="auto" w:fill="FFFFFF"/>
        </w:rPr>
        <w:t xml:space="preserve">odel </w:t>
      </w:r>
      <w:r>
        <w:rPr>
          <w:i/>
          <w:iCs/>
          <w:shd w:val="clear" w:color="auto" w:fill="FFFFFF"/>
          <w:lang w:val="en-US"/>
        </w:rPr>
        <w:t>d</w:t>
      </w:r>
      <w:r>
        <w:rPr>
          <w:i/>
          <w:iCs/>
          <w:shd w:val="clear" w:color="auto" w:fill="FFFFFF"/>
        </w:rPr>
        <w:t xml:space="preserve">eep </w:t>
      </w:r>
      <w:r>
        <w:rPr>
          <w:i/>
          <w:iCs/>
          <w:shd w:val="clear" w:color="auto" w:fill="FFFFFF"/>
          <w:lang w:val="en-US"/>
        </w:rPr>
        <w:t>l</w:t>
      </w:r>
      <w:r>
        <w:rPr>
          <w:i/>
          <w:iCs/>
          <w:shd w:val="clear" w:color="auto" w:fill="FFFFFF"/>
        </w:rPr>
        <w:t>earning</w:t>
      </w:r>
      <w:r>
        <w:rPr>
          <w:shd w:val="clear" w:color="auto" w:fill="FFFFFF"/>
        </w:rPr>
        <w:t xml:space="preserve"> </w:t>
      </w:r>
      <w:r>
        <w:rPr>
          <w:shd w:val="clear" w:color="auto" w:fill="FFFFFF"/>
          <w:lang w:val="en-US"/>
        </w:rPr>
        <w:t>(</w:t>
      </w:r>
      <w:r>
        <w:rPr>
          <w:shd w:val="clear" w:color="auto" w:fill="FFFFFF"/>
        </w:rPr>
        <w:t>seperti LSTM dan GRU</w:t>
      </w:r>
      <w:r>
        <w:rPr>
          <w:shd w:val="clear" w:color="auto" w:fill="FFFFFF"/>
          <w:lang w:val="en-US"/>
        </w:rPr>
        <w:t>)</w:t>
      </w:r>
      <w:r>
        <w:rPr>
          <w:shd w:val="clear" w:color="auto" w:fill="FFFFFF"/>
        </w:rPr>
        <w:t xml:space="preserve"> menunjukkan peningkatan kinerja dibanding metode klasik tersebut, namun</w:t>
      </w:r>
      <w:r>
        <w:rPr>
          <w:shd w:val="clear" w:color="auto" w:fill="FFFFFF"/>
          <w:lang w:val="en-US"/>
        </w:rPr>
        <w:t xml:space="preserve"> peformanya </w:t>
      </w:r>
      <w:r>
        <w:t xml:space="preserve">seringkali tidak </w:t>
      </w:r>
      <w:r>
        <w:rPr>
          <w:i/>
          <w:iCs/>
        </w:rPr>
        <w:t>robust</w:t>
      </w:r>
      <w:r>
        <w:t xml:space="preserve"> saat diterapkan </w:t>
      </w:r>
      <w:r>
        <w:rPr>
          <w:lang w:val="en-US"/>
        </w:rPr>
        <w:t xml:space="preserve">di </w:t>
      </w:r>
      <w:r>
        <w:t xml:space="preserve">lokasi </w:t>
      </w:r>
      <w:r>
        <w:rPr>
          <w:lang w:val="en-US"/>
        </w:rPr>
        <w:t xml:space="preserve">lain </w:t>
      </w:r>
      <w:r>
        <w:t xml:space="preserve">dan umumnya membutuhkan pelatihan ulang dari awal untuk setiap wilayah baru, </w:t>
      </w:r>
      <w:r>
        <w:rPr>
          <w:lang w:val="en-US"/>
        </w:rPr>
        <w:t xml:space="preserve">serta saat urutan (data) terlalu panjang, LSTM/GRU cenderung "melupakan" informasi awal atau mengalami kesulitan mempertahankan konteks </w:t>
      </w:r>
      <w:r>
        <w:rPr>
          <w:shd w:val="clear" w:color="auto" w:fill="FFFFFF"/>
        </w:rPr>
        <w:fldChar w:fldCharType="begin" w:fldLock="1"/>
      </w:r>
      <w:r>
        <w:rPr>
          <w:shd w:val="clear" w:color="auto" w:fill="FFFFFF"/>
        </w:rPr>
        <w:instrText xml:space="preserve">ADDIN CSL_CITATION {"citationItems":[{"id":"ITEM-1","itemData":{"DOI":"10.5194/hess-23-5089-2019","abstract":"Abstract. Regional rainfall–runoff modeling is an old but still mostly outstanding problem in the hydrological sciences. The problem currently is that traditional hydrological models degrade significantly in performance when calibrated for multiple basins together instead of for a single basin alone. In this paper, we propose a novel, data-driven approach using Long Short-Term Memory networks (LSTMs) and demonstrate that under a “big data” paradigm, this is not necessarily the case. By training a single LSTM model on 531 basins from the CAMELS dataset using meteorological time series data and static catchment attributes, we were able to significantly improve performance compared to a set of several different hydrological benchmark models. Our proposed approach not only significantly outperforms hydrological models that were calibrated regionally, but also achieves better performance than hydrological models that were calibrated for each basin individually. Furthermore, we propose an adaption to the standard LSTM architecture, which we call an Entity-Aware-LSTM (EA-LSTM), that allows for learning catchment similarities as a feature layer in a deep learning model. We show that these learned catchment similarities correspond well to what we would expect from prior hydrological understanding. ","author":[{"dropping-particle":"","family":"Kratzert","given":"Frederik","non-dropping-particle":"","parse-names":false,"suffix":""},{"dropping-particle":"","family":"Klotz","given":"Daniel","non-dropping-particle":"","parse-names":false,"suffix":""},{"dropping-particle":"","family":"Shalev","given":"Guy","non-dropping-particle":"","parse-names":false,"suffix":""},{"dropping-particle":"","family":"Klambauer","given":"Günter","non-dropping-particle":"","parse-names":false,"suffix":""},{"dropping-particle":"","family":"Hochreiter","given":"Sepp","non-dropping-particle":"","parse-names":false,"suffix":""},{"dropping-particle":"","family":"Nearing","given":"Grey","non-dropping-particle":"","parse-names":false,"suffix":""}],"container-title":"Hydrology and Earth System Sciences","id":"ITEM-1","issue":"12","issued":{"date-parts":[["2019"]]},"page":"5089-5110","title":"Towards Learning Universal, Regional, and Local Hydrological Behaviors via Machine Learning Applied to Large-Sample Datasets","type":"article-journal","volume":"23"},"uris":["http://www.mendeley.com/documents/?uuid=f42354f6-a362-4695-999c-fb66f1434d88"]},{"id":"ITEM-2","itemData":{"DOI":"10.1109/ICE3IS66769.2025.11281069","ISBN":" VO  -","author":[{"dropping-particle":"","family":"Arrizal","given":"H H","non-dropping-particle":"","parse-names":false,"suffix":""},{"dropping-particle":"","family":"Azizah","given":"L M","non-dropping-particle":"","parse-names":false,"suffix":""},{"dropping-particle":"","family":"Sinambela","given":"M","non-dropping-particle":"","parse-names":false,"suffix":""},{"dropping-particle":"","family":"Wastumirad","given":"A W","non-dropping-particle":"","parse-names":false,"suffix":""},{"dropping-particle":"","family":"Nardi","given":"","non-dropping-particle":"","parse-names":false,"suffix":""},{"dropping-particle":"","family":"Susanto","given":"C O N","non-dropping-particle":"","parse-names":false,"suffix":""}],"container-title":"2025 5th International Conference on Electronic and Electrical Engineering and Intelligent System (ICE3IS)","id":"ITEM-2","issued":{"date-parts":[["2025"]]},"page":"430-435","title":"Climate Feature Impact on Rainfall Prediction Using Recurrent Neural Networks: Comparative Analysis of AUSMI and ENSO Predictors in Central","type":"paper-conference"},"uris":["http://www.mendeley.com/documents/?uuid=8b0f938d-4886-4775-8d9f-ded671cbfc28"]}],"mendeley":{"formattedCitation":"(Arrizal dkk., 2025; Kratzert dkk., 2019)","manualFormatting":"(Kratzert dkk., 2019; Arrizal dkk., 2025)","plainTextFormattedCitation":"(Arrizal dkk., 2025; Kratzert dkk., 2019)","previouslyFormattedCitation":"(Kratzert &lt;i&gt;et al.&lt;/i&gt;, 2019; Arrizal &lt;i&gt;et al.&lt;/i&gt;, 2025)"},"properties":{"noteIndex":0},"schema":"https://github.com/citation-style-language/schema/raw/master/csl-citation.json"}</w:instrText>
      </w:r>
      <w:r>
        <w:rPr>
          <w:shd w:val="clear" w:color="auto" w:fill="FFFFFF"/>
        </w:rPr>
        <w:fldChar w:fldCharType="separate"/>
      </w:r>
      <w:r>
        <w:rPr>
          <w:shd w:val="clear" w:color="auto" w:fill="FFFFFF"/>
        </w:rPr>
        <w:t>(Kratzert dkk., 2019; Arrizal dkk., 2025)</w:t>
      </w:r>
      <w:r>
        <w:rPr>
          <w:shd w:val="clear" w:color="auto" w:fill="FFFFFF"/>
        </w:rPr>
        <w:fldChar w:fldCharType="end"/>
      </w:r>
      <w:r>
        <w:rPr>
          <w:shd w:val="clear" w:color="auto" w:fill="FFFFFF"/>
        </w:rPr>
        <w:t xml:space="preserve">. </w:t>
      </w:r>
      <w:r>
        <w:rPr>
          <w:i/>
          <w:shd w:val="clear" w:color="auto" w:fill="FFFFFF"/>
        </w:rPr>
        <w:t>Transformer</w:t>
      </w:r>
      <w:r>
        <w:rPr>
          <w:shd w:val="clear" w:color="auto" w:fill="FFFFFF"/>
        </w:rPr>
        <w:t xml:space="preserve"> </w:t>
      </w:r>
      <w:r>
        <w:rPr>
          <w:shd w:val="clear" w:color="auto" w:fill="FFFFFF"/>
          <w:lang w:val="en-US"/>
        </w:rPr>
        <w:t xml:space="preserve">kemudian muncul </w:t>
      </w:r>
      <w:r>
        <w:rPr>
          <w:shd w:val="clear" w:color="auto" w:fill="FFFFFF"/>
        </w:rPr>
        <w:t>sebagai alternatif yang lebih mampu menangkap ketergantungan jangka panjang</w:t>
      </w:r>
      <w:r>
        <w:rPr>
          <w:shd w:val="clear" w:color="auto" w:fill="FFFFFF"/>
          <w:lang w:val="en-US"/>
        </w:rPr>
        <w:t>.</w:t>
      </w:r>
      <w:r>
        <w:rPr>
          <w:shd w:val="clear" w:color="auto" w:fill="FFFFFF"/>
        </w:rPr>
        <w:t xml:space="preserve"> </w:t>
      </w:r>
      <w:r>
        <w:rPr>
          <w:shd w:val="clear" w:color="auto" w:fill="FFFFFF"/>
          <w:lang w:val="en-US"/>
        </w:rPr>
        <w:t>Namun</w:t>
      </w:r>
      <w:r>
        <w:rPr>
          <w:shd w:val="clear" w:color="auto" w:fill="FFFFFF"/>
        </w:rPr>
        <w:t xml:space="preserve"> model ini </w:t>
      </w:r>
      <w:r>
        <w:rPr>
          <w:shd w:val="clear" w:color="auto" w:fill="FFFFFF"/>
          <w:lang w:val="en-US"/>
        </w:rPr>
        <w:t xml:space="preserve">menghadapi kendala </w:t>
      </w:r>
      <w:r>
        <w:rPr>
          <w:shd w:val="clear" w:color="auto" w:fill="FFFFFF"/>
        </w:rPr>
        <w:t xml:space="preserve">kebutuhan komputasi yang </w:t>
      </w:r>
      <w:r>
        <w:rPr>
          <w:shd w:val="clear" w:color="auto" w:fill="FFFFFF"/>
          <w:lang w:val="en-US"/>
        </w:rPr>
        <w:t xml:space="preserve">juga </w:t>
      </w:r>
      <w:r>
        <w:rPr>
          <w:shd w:val="clear" w:color="auto" w:fill="FFFFFF"/>
        </w:rPr>
        <w:t>tinggi</w:t>
      </w:r>
      <w:r>
        <w:rPr>
          <w:shd w:val="clear" w:color="auto" w:fill="FFFFFF"/>
          <w:lang w:val="en-US"/>
        </w:rPr>
        <w:t>,</w:t>
      </w:r>
      <w:r>
        <w:rPr>
          <w:shd w:val="clear" w:color="auto" w:fill="FFFFFF"/>
        </w:rPr>
        <w:t xml:space="preserve"> sehingga performanya </w:t>
      </w:r>
      <w:r>
        <w:t xml:space="preserve">membatasi </w:t>
      </w:r>
      <w:r>
        <w:rPr>
          <w:lang w:val="en-US"/>
        </w:rPr>
        <w:t>implementasinya</w:t>
      </w:r>
      <w:r>
        <w:t xml:space="preserve"> secara luas </w:t>
      </w:r>
      <w:r>
        <w:rPr>
          <w:shd w:val="clear" w:color="auto" w:fill="FFFFFF"/>
        </w:rPr>
        <w:fldChar w:fldCharType="begin" w:fldLock="1"/>
      </w:r>
      <w:r>
        <w:rPr>
          <w:shd w:val="clear" w:color="auto" w:fill="FFFFFF"/>
        </w:rPr>
        <w:instrText xml:space="preserve">ADDIN CSL_CITATION {"citationItems":[{"id":"ITEM-1","itemData":{"DOI":"10.1609/aaai.v37i9.26317","abstract":"Recently, there has been a surge of Transformer-based solutions for the long-term time series forecasting (LTSF) task. Despite the growing performance over the past few years, we question the validity of this line of research in this work. Specifically, Transformers is arguably the most successful solution to extract the semantic correlations among the elements in a long sequence. However, in time series modeling, we are to extract the temporal relations in an ordered set of continuous points. While employing positional encoding and using tokens to embed sub-series in Transformers facilitate preserving some ordering information, the nature of the permutation-invariant self-attention mechanism inevitably results in temporal information loss.  To validate our claim, we introduce a set of embarrassingly simple one-layer linear models named LTSF-Linear for comparison. Experimental results on nine real-life datasets show that LTSF-Linear surprisingly outperforms existing sophisticated Transformer-based LTSF models in all cases, and often by a large margin. Moreover, we conduct comprehensive empirical studies to explore the impacts of various design elements of LTSF models on their temporal relation extraction capability. We hope this surprising finding opens up new research directions for the LTSF task. We also advocate revisiting the validity of Transformer-based solutions for other time series analysis tasks (e.g., anomaly detection) in the future.","author":[{"dropping-particle":"","family":"Zeng","given":"Ailing","non-dropping-particle":"","parse-names":false,"suffix":""},{"dropping-particle":"","family":"Chen","given":"Muxi","non-dropping-particle":"","parse-names":false,"suffix":""},{"dropping-particle":"","family":"Zhang","given":"Lei","non-dropping-particle":"","parse-names":false,"suffix":""},{"dropping-particle":"","family":"Xu","given":"Qiang","non-dropping-particle":"","parse-names":false,"suffix":""}],"container-title":"Proceedings of the AAAI Conference on Artificial Intelligence","id":"ITEM-1","issue":"9","issued":{"date-parts":[["2023"]]},"page":"11121-11128","title":"Are Transformers Effective for Time Series Forecasting?","type":"article-journal","volume":"37"},"uris":["http://www.mendeley.com/documents/?uuid=a80ab64e-0dee-4f66-b734-6b6760bf6d9a"]}],"mendeley":{"formattedCitation":"(Zeng dkk., 2023)","manualFormatting":"(Zeng dkk., 2023)","plainTextFormattedCitation":"(Zeng dkk., 2023)","previouslyFormattedCitation":"(Zeng &lt;i&gt;et al.&lt;/i&gt;, 2023)"},"properties":{"noteIndex":0},"schema":"https://github.com/citation-style-language/schema/raw/master/csl-citation.json"}</w:instrText>
      </w:r>
      <w:r>
        <w:rPr>
          <w:shd w:val="clear" w:color="auto" w:fill="FFFFFF"/>
        </w:rPr>
        <w:fldChar w:fldCharType="separate"/>
      </w:r>
      <w:r>
        <w:rPr>
          <w:shd w:val="clear" w:color="auto" w:fill="FFFFFF"/>
        </w:rPr>
        <w:t>(Zeng dkk., 2023)</w:t>
      </w:r>
      <w:r>
        <w:rPr>
          <w:shd w:val="clear" w:color="auto" w:fill="FFFFFF"/>
        </w:rPr>
        <w:fldChar w:fldCharType="end"/>
      </w:r>
      <w:r>
        <w:rPr>
          <w:shd w:val="clear" w:color="auto" w:fill="FFFFFF"/>
        </w:rPr>
        <w:t>.</w:t>
      </w:r>
      <w:r>
        <w:t xml:space="preserve"> </w:t>
      </w:r>
      <w:r>
        <w:rPr>
          <w:shd w:val="clear" w:color="auto" w:fill="FFFFFF"/>
        </w:rPr>
        <w:t xml:space="preserve">Kondisi ini menegaskan bahwa tantangan fundamental saat ini bukan sekadar memilih arsitektur, melainkan bagaimana mengoptimalkan model agar mampu bekerja secara efisien dan dapat digeneralisasi ke berbagai kondisi </w:t>
      </w:r>
      <w:r>
        <w:rPr>
          <w:shd w:val="clear" w:color="auto" w:fill="FFFFFF"/>
          <w:lang w:val="en-US"/>
        </w:rPr>
        <w:t>pola hujan</w:t>
      </w:r>
      <w:r>
        <w:rPr>
          <w:shd w:val="clear" w:color="auto" w:fill="FFFFFF"/>
        </w:rPr>
        <w:t xml:space="preserve"> tanpa biaya komputasi yang berlebihan </w:t>
      </w:r>
      <w:r>
        <w:rPr>
          <w:shd w:val="clear" w:color="auto" w:fill="FFFFFF"/>
        </w:rPr>
        <w:fldChar w:fldCharType="begin" w:fldLock="1"/>
      </w:r>
      <w:r>
        <w:rPr>
          <w:shd w:val="clear" w:color="auto" w:fill="FFFFFF"/>
        </w:rPr>
        <w:instrText xml:space="preserve">ADDIN CSL_CITATION {"citationItems":[{"id":"ITEM-1","itemData":{"DOI":"10.48550/arxiv.2109.06716","abstract":"To achieve peak predictive performance, hyperparameter optimization (HPO) is a crucial component of machine learning and its applications. Over the last years, the number of efficient algorithms and tools for HPO grew substantially. At the same time, the community is still lacking realistic, diverse, computationally cheap, and standardized benchmarks. This is especially the case for multi-fidelity HPO methods. To close this gap, we propose HPOBench, which includes 7 existing and 5 new benchmark families, with in total more than 100 multi-fidelity benchmark problems. HPOBench allows to run this extendable set of multi-fidelity HPO benchmarks in a reproducible way by isolating and packaging the individual benchmarks in containers. It also provides surrogate and tabular benchmarks for computationally affordable yet statistically sound evaluations. To demonstrate the broad compatibility of HPOBench and its usefulness, we conduct an exemplary large-scale study evaluating 6 well known multi-fidelity HPO tools.","author":[{"dropping-particle":"","family":"Eggensperger","given":"Katharina","non-dropping-particle":"","parse-names":false,"suffix":""},{"dropping-particle":"","family":"Müller","given":"Philipp","non-dropping-particle":"","parse-names":false,"suffix":""},{"dropping-particle":"","family":"Mallik","given":"Neeratyoy","non-dropping-particle":"","parse-names":false,"suffix":""},{"dropping-particle":"","family":"Feurer","given":"Matthias","non-dropping-particle":"","parse-names":false,"suffix":""},{"dropping-particle":"","family":"Sass","given":"René","non-dropping-particle":"","parse-names":false,"suffix":""},{"dropping-particle":"","family":"Klein","given":"Aaron","non-dropping-particle":"","parse-names":false,"suffix":""},{"dropping-particle":"","family":"Awad","given":"Noor","non-dropping-particle":"","parse-names":false,"suffix":""},{"dropping-particle":"","family":"Lindauer","given":"Marius","non-dropping-particle":"","parse-names":false,"suffix":""},{"dropping-particle":"","family":"Hutter","given":"Frank","non-dropping-particle":"","parse-names":false,"suffix":""}],"id":"ITEM-1","issued":{"date-parts":[["2021"]]},"title":"HPOBench: A Collection of Reproducible Multi-Fidelity Benchmark Problems for HPO","type":"article-journal"},"uris":["http://www.mendeley.com/documents/?uuid=2e070e19-252d-451c-ae2f-484054cf916e"]}],"mendeley":{"formattedCitation":"(Eggensperger dkk., 2021)","manualFormatting":"(Eggensperger dkk., 2021)","plainTextFormattedCitation":"(Eggensperger dkk., 2021)","previouslyFormattedCitation":"(Eggensperger &lt;i&gt;et al.&lt;/i&gt;, 2021)"},"properties":{"noteIndex":0},"schema":"https://github.com/citation-style-language/schema/raw/master/csl-citation.json"}</w:instrText>
      </w:r>
      <w:r>
        <w:rPr>
          <w:shd w:val="clear" w:color="auto" w:fill="FFFFFF"/>
        </w:rPr>
        <w:fldChar w:fldCharType="separate"/>
      </w:r>
      <w:r>
        <w:rPr>
          <w:shd w:val="clear" w:color="auto" w:fill="FFFFFF"/>
        </w:rPr>
        <w:t>(Eggensperger dkk., 2021)</w:t>
      </w:r>
      <w:r>
        <w:rPr>
          <w:shd w:val="clear" w:color="auto" w:fill="FFFFFF"/>
        </w:rPr>
        <w:fldChar w:fldCharType="end"/>
      </w:r>
      <w:r>
        <w:rPr>
          <w:shd w:val="clear" w:color="auto" w:fill="FFFFFF"/>
        </w:rPr>
        <w:t xml:space="preserve">. </w:t>
      </w:r>
    </w:p>
    <w:p w14:paraId="35B28C63">
      <w:pPr>
        <w:spacing w:after="0"/>
        <w:ind w:firstLine="720"/>
        <w:rPr>
          <w:shd w:val="clear" w:color="auto" w:fill="FFFFFF"/>
        </w:rPr>
      </w:pPr>
      <w:r>
        <w:rPr>
          <w:shd w:val="clear" w:color="auto" w:fill="FFFFFF"/>
        </w:rPr>
        <w:t xml:space="preserve">Meskipun arsitektur </w:t>
      </w:r>
      <w:r>
        <w:rPr>
          <w:i/>
          <w:shd w:val="clear" w:color="auto" w:fill="FFFFFF"/>
        </w:rPr>
        <w:t>Transformer</w:t>
      </w:r>
      <w:r>
        <w:rPr>
          <w:shd w:val="clear" w:color="auto" w:fill="FFFFFF"/>
        </w:rPr>
        <w:t xml:space="preserve"> menjanjikan kemampuan superior, kinerjanya sangat bergantung pada konfigurasi </w:t>
      </w:r>
      <w:r>
        <w:rPr>
          <w:i/>
          <w:shd w:val="clear" w:color="auto" w:fill="FFFFFF"/>
        </w:rPr>
        <w:t>hyperparameter</w:t>
      </w:r>
      <w:r>
        <w:rPr>
          <w:shd w:val="clear" w:color="auto" w:fill="FFFFFF"/>
        </w:rPr>
        <w:t xml:space="preserve"> yang </w:t>
      </w:r>
      <w:r>
        <w:rPr>
          <w:shd w:val="clear" w:color="auto" w:fill="FFFFFF"/>
          <w:lang w:val="en-US"/>
        </w:rPr>
        <w:t>tepat</w:t>
      </w:r>
      <w:r>
        <w:rPr>
          <w:shd w:val="clear" w:color="auto" w:fill="FFFFFF"/>
        </w:rPr>
        <w:t xml:space="preserve">. </w:t>
      </w:r>
      <w:r>
        <w:rPr>
          <w:lang w:val="en-US"/>
        </w:rPr>
        <w:t>Perubahan</w:t>
      </w:r>
      <w:r>
        <w:t xml:space="preserve"> minor </w:t>
      </w:r>
      <w:r>
        <w:rPr>
          <w:lang w:val="en-US"/>
        </w:rPr>
        <w:t xml:space="preserve">pada </w:t>
      </w:r>
      <w:r>
        <w:t xml:space="preserve">parameter dapat memicu </w:t>
      </w:r>
      <w:r>
        <w:rPr>
          <w:lang w:val="en-US"/>
        </w:rPr>
        <w:t>perubahan</w:t>
      </w:r>
      <w:r>
        <w:t xml:space="preserve"> performa</w:t>
      </w:r>
      <w:r>
        <w:rPr>
          <w:lang w:val="en-US"/>
        </w:rPr>
        <w:t xml:space="preserve"> signifikan</w:t>
      </w:r>
      <w:r>
        <w:t>, padahal peramalan berisiko tinggi menuntut pemenuhan kriteria multiobjektif: akurasi presisi, stabilitas (</w:t>
      </w:r>
      <w:r>
        <w:rPr>
          <w:i/>
          <w:iCs/>
        </w:rPr>
        <w:t>robustness</w:t>
      </w:r>
      <w:r>
        <w:t>) lintas wilayah, dan efisiensi</w:t>
      </w:r>
      <w:r>
        <w:rPr>
          <w:lang w:val="en-US"/>
        </w:rPr>
        <w:t xml:space="preserve"> </w:t>
      </w:r>
      <w:r>
        <w:rPr>
          <w:shd w:val="clear" w:color="auto" w:fill="FFFFFF"/>
        </w:rPr>
        <w:fldChar w:fldCharType="begin" w:fldLock="1"/>
      </w:r>
      <w:r>
        <w:rPr>
          <w:shd w:val="clear" w:color="auto" w:fill="FFFFFF"/>
        </w:rPr>
        <w:instrText xml:space="preserve">ADDIN CSL_CITATION {"citationItems":[{"id":"ITEM-1","itemData":{"DOI":"10.1609/aaai.v37i9.26317","abstract":"Recently, there has been a surge of Transformer-based solutions for the long-term time series forecasting (LTSF) task. Despite the growing performance over the past few years, we question the validity of this line of research in this work. Specifically, Transformers is arguably the most successful solution to extract the semantic correlations among the elements in a long sequence. However, in time series modeling, we are to extract the temporal relations in an ordered set of continuous points. While employing positional encoding and using tokens to embed sub-series in Transformers facilitate preserving some ordering information, the nature of the permutation-invariant self-attention mechanism inevitably results in temporal information loss.  To validate our claim, we introduce a set of embarrassingly simple one-layer linear models named LTSF-Linear for comparison. Experimental results on nine real-life datasets show that LTSF-Linear surprisingly outperforms existing sophisticated Transformer-based LTSF models in all cases, and often by a large margin. Moreover, we conduct comprehensive empirical studies to explore the impacts of various design elements of LTSF models on their temporal relation extraction capability. We hope this surprising finding opens up new research directions for the LTSF task. We also advocate revisiting the validity of Transformer-based solutions for other time series analysis tasks (e.g., anomaly detection) in the future.","author":[{"dropping-particle":"","family":"Zeng","given":"Ailing","non-dropping-particle":"","parse-names":false,"suffix":""},{"dropping-particle":"","family":"Chen","given":"Muxi","non-dropping-particle":"","parse-names":false,"suffix":""},{"dropping-particle":"","family":"Zhang","given":"Lei","non-dropping-particle":"","parse-names":false,"suffix":""},{"dropping-particle":"","family":"Xu","given":"Qiang","non-dropping-particle":"","parse-names":false,"suffix":""}],"container-title":"Proceedings of the AAAI Conference on Artificial Intelligence","id":"ITEM-1","issue":"9","issued":{"date-parts":[["2023"]]},"page":"11121-11128","title":"Are Transformers Effective for Time Series Forecasting?","type":"article-journal","volume":"37"},"uris":["http://www.mendeley.com/documents/?uuid=a80ab64e-0dee-4f66-b734-6b6760bf6d9a"]}],"mendeley":{"formattedCitation":"(Zeng dkk., 2023)","manualFormatting":"(Zeng dkk., 2023)","plainTextFormattedCitation":"(Zeng dkk., 2023)","previouslyFormattedCitation":"(Zeng &lt;i&gt;et al.&lt;/i&gt;, 2023)"},"properties":{"noteIndex":0},"schema":"https://github.com/citation-style-language/schema/raw/master/csl-citation.json"}</w:instrText>
      </w:r>
      <w:r>
        <w:rPr>
          <w:shd w:val="clear" w:color="auto" w:fill="FFFFFF"/>
        </w:rPr>
        <w:fldChar w:fldCharType="separate"/>
      </w:r>
      <w:r>
        <w:rPr>
          <w:shd w:val="clear" w:color="auto" w:fill="FFFFFF"/>
        </w:rPr>
        <w:t>(Zeng dkk., 2023)</w:t>
      </w:r>
      <w:r>
        <w:rPr>
          <w:shd w:val="clear" w:color="auto" w:fill="FFFFFF"/>
        </w:rPr>
        <w:fldChar w:fldCharType="end"/>
      </w:r>
      <w:r>
        <w:rPr>
          <w:shd w:val="clear" w:color="auto" w:fill="FFFFFF"/>
        </w:rPr>
        <w:t xml:space="preserve">. </w:t>
      </w:r>
      <w:r>
        <w:t>Sayangnya, metode konvensional (</w:t>
      </w:r>
      <w:r>
        <w:rPr>
          <w:i/>
          <w:iCs/>
        </w:rPr>
        <w:t>grid/random search</w:t>
      </w:r>
      <w:r>
        <w:t>)</w:t>
      </w:r>
      <w:r>
        <w:rPr>
          <w:lang w:val="en-US"/>
        </w:rPr>
        <w:t xml:space="preserve"> dan</w:t>
      </w:r>
      <w:r>
        <w:t xml:space="preserve"> </w:t>
      </w:r>
      <w:r>
        <w:rPr>
          <w:i/>
          <w:iCs/>
        </w:rPr>
        <w:t xml:space="preserve">Bayesian </w:t>
      </w:r>
      <w:r>
        <w:rPr>
          <w:i/>
          <w:iCs/>
          <w:lang w:val="en-US"/>
        </w:rPr>
        <w:t>O</w:t>
      </w:r>
      <w:r>
        <w:rPr>
          <w:i/>
          <w:iCs/>
        </w:rPr>
        <w:t>ptimization</w:t>
      </w:r>
      <w:r>
        <w:t xml:space="preserve"> rentan terperangkap di optimum lokal pada </w:t>
      </w:r>
      <w:r>
        <w:rPr>
          <w:iCs/>
          <w:lang w:val="en-US"/>
        </w:rPr>
        <w:t xml:space="preserve">ruang </w:t>
      </w:r>
      <w:r>
        <w:rPr>
          <w:i/>
          <w:lang w:val="en-US"/>
        </w:rPr>
        <w:t xml:space="preserve">hyperparameter </w:t>
      </w:r>
      <w:r>
        <w:rPr>
          <w:lang w:val="en-US"/>
        </w:rPr>
        <w:t xml:space="preserve">yang </w:t>
      </w:r>
      <w:r>
        <w:t>non-konveks</w:t>
      </w:r>
      <w:r>
        <w:rPr>
          <w:shd w:val="clear" w:color="auto" w:fill="FFFFFF"/>
        </w:rPr>
        <w:t xml:space="preserve"> </w:t>
      </w:r>
      <w:r>
        <w:rPr>
          <w:shd w:val="clear" w:color="auto" w:fill="FFFFFF"/>
        </w:rPr>
        <w:fldChar w:fldCharType="begin" w:fldLock="1"/>
      </w:r>
      <w:r>
        <w:rPr>
          <w:shd w:val="clear" w:color="auto" w:fill="FFFFFF"/>
        </w:rPr>
        <w:instrText xml:space="preserve">ADDIN CSL_CITATION {"citationItems":[{"id":"ITEM-1","itemData":{"DOI":"10.1109/access.2024.3357741","abstract":"This study combines the metaheuristic algorithm Transient Search Optimization (TSO) with the Levy flight distribution to find the optimal proportional-integral (PI) controllers for robust operation of islanded microgrids. The first step is to use the response surface methodology (RSM) to empirically express the multi-objective function. This function includes the transient variations of the terminal voltages of the microgrids. To demonstrate the efficacy of the hybrid Levyflight and TSO (LTSO), a benchmark microgrid system undergoes rigorous testing under different operational scenarios: i) transitioning the system into autonomous mode by disconnecting from the main grid; ii) adapting to varying load conditions while isolated; and iii) responding to a 3-phase fault while operating in islanded mode. Numerous simulations are run to verify the suggested methodology, employing conventional data extracted from the PSCAD/EMTDC software. The study's findings are further reinforced through a comparative analysis with established optimization techniques such as the least mean and the square root of exponential approaches, the enhanced block-sparse adaptive Bayesian algorithm, the adaptive-width generalized correntropy diffusion algorithm, the sunflower optimization algorithm, the Coot bird metaheuristic optimizer, and particle swarm optimization. The results collectively underscore the superiority of the LTSO algorithm in enhancing the transient response of the terminal voltages of islanded microgrids, thereby offering a promising avenue for optimizing the control and stability of such systems.INDEX TERMS coot bird metaheuristic optimizer; distributed generators; renewable energy; microgrid; sunflower optimization algorithm.","author":[{"dropping-particle":"","family":"Hussien","given":"Ahmed M","non-dropping-particle":"","parse-names":false,"suffix":""},{"dropping-particle":"","family":"Hasanien","given":"Hany M","non-dropping-particle":"","parse-names":false,"suffix":""},{"dropping-particle":"","family":"Qais","given":"Mohammed H","non-dropping-particle":"","parse-names":false,"suffix":""},{"dropping-particle":"","family":"Alghuwainem","given":"Saad","non-dropping-particle":"","parse-names":false,"suffix":""}],"container-title":"IEEE Access","id":"ITEM-1","issued":{"date-parts":[["2024"]]},"page":"15075-15092","title":"Hybrid Transient Search Algorithm With Levy Flight for Optimal PI Controllers of Islanded Microgrids","type":"article-journal","volume":"12"},"uris":["http://www.mendeley.com/documents/?uuid=f8cd4af9-b9dd-4fa8-8500-45ca8f9c3540"]},{"id":"ITEM-2","itemData":{"DOI":"10.3390/axioms12030266","abstract":"As solar energy generation has become more and more important for the economies of numerous countries in the last couple of decades, it is highly important to build accurate models for forecasting the amount of green energy that will be produced. Numerous recurrent deep learning approaches, mainly based on long short-term memory (LSTM), are proposed for dealing with such problems, but the most accurate models may differ from one test case to another with respect to architecture and hyperparameters. In the current study, the use of an LSTM and a bidirectional LSTM (BiLSTM) is proposed for dealing with a data collection that, besides the time series values denoting the solar energy generation, also comprises corresponding information about the weather. The proposed research additionally endows the models with hyperparameter tuning by means of an enhanced version of a recently proposed metaheuristic, the reptile search algorithm (RSA). The output of the proposed tuned recurrent neural network models is compared to the ones of several other state-of-the-art metaheuristic optimization approaches that are applied for the same task, using the same experimental setup, and the obtained results indicate the proposed approach as the better alternative. Moreover, the best recurrent model achieved the best results with R2 of 0.604, and a normalized MSE value of 0.014, which yields an improvement of around 13% over traditional machine learning models.","author":[{"dropping-particle":"","family":"Stoean","given":"Catalin","non-dropping-particle":"","parse-names":false,"suffix":""},{"dropping-particle":"","family":"Zivkovic","given":"Miodrag","non-dropping-particle":"","parse-names":false,"suffix":""},{"dropping-particle":"","family":"Bozovic","given":"Aleksandra","non-dropping-particle":"","parse-names":false,"suffix":""},{"dropping-particle":"","family":"Bacanin","given":"Nebojsa","non-dropping-particle":"","parse-names":false,"suffix":""},{"dropping-particle":"","family":"Strulak-Wójcikiewicz","given":"Roma","non-dropping-particle":"","parse-names":false,"suffix":""},{"dropping-particle":"","family":"Antonijevic","given":"Milos","non-dropping-particle":"","parse-names":false,"suffix":""},{"dropping-particle":"","family":"Stoean","given":"Ruxandra","non-dropping-particle":"","parse-names":false,"suffix":""}],"container-title":"Axioms","id":"ITEM-2","issue":"3","issued":{"date-parts":[["2023"]]},"page":"266","title":"Metaheuristic-Based Hyperparameter Tuning for Recurrent Deep Learning: Application to the Prediction of Solar Energy Generation","type":"article-journal","volume":"12"},"uris":["http://www.mendeley.com/documents/?uuid=266deb48-c466-47a7-821c-6efece9aee4a"]},{"id":"ITEM-3","itemData":{"DOI":"10.48550/arxiv.2109.06716","abstract":"To achieve peak predictive performance, hyperparameter optimization (HPO) is a crucial component of machine learning and its applications. Over the last years, the number of efficient algorithms and tools for HPO grew substantially. At the same time, the community is still lacking realistic, diverse, computationally cheap, and standardized benchmarks. This is especially the case for multi-fidelity HPO methods. To close this gap, we propose HPOBench, which includes 7 existing and 5 new benchmark families, with in total more than 100 multi-fidelity benchmark problems. HPOBench allows to run this extendable set of multi-fidelity HPO benchmarks in a reproducible way by isolating and packaging the individual benchmarks in containers. It also provides surrogate and tabular benchmarks for computationally affordable yet statistically sound evaluations. To demonstrate the broad compatibility of HPOBench and its usefulness, we conduct an exemplary large-scale study evaluating 6 well known multi-fidelity HPO tools.","author":[{"dropping-particle":"","family":"Eggensperger","given":"Katharina","non-dropping-particle":"","parse-names":false,"suffix":""},{"dropping-particle":"","family":"Müller","given":"Philipp","non-dropping-particle":"","parse-names":false,"suffix":""},{"dropping-particle":"","family":"Mallik","given":"Neeratyoy","non-dropping-particle":"","parse-names":false,"suffix":""},{"dropping-particle":"","family":"Feurer","given":"Matthias","non-dropping-particle":"","parse-names":false,"suffix":""},{"dropping-particle":"","family":"Sass","given":"René","non-dropping-particle":"","parse-names":false,"suffix":""},{"dropping-particle":"","family":"Klein","given":"Aaron","non-dropping-particle":"","parse-names":false,"suffix":""},{"dropping-particle":"","family":"Awad","given":"Noor","non-dropping-particle":"","parse-names":false,"suffix":""},{"dropping-particle":"","family":"Lindauer","given":"Marius","non-dropping-particle":"","parse-names":false,"suffix":""},{"dropping-particle":"","family":"Hutter","given":"Frank","non-dropping-particle":"","parse-names":false,"suffix":""}],"id":"ITEM-3","issued":{"date-parts":[["2021"]]},"title":"HPOBench: A Collection of Reproducible Multi-Fidelity Benchmark Problems for HPO","type":"article-journal"},"uris":["http://www.mendeley.com/documents/?uuid=2e070e19-252d-451c-ae2f-484054cf916e"]}],"mendeley":{"formattedCitation":"(Eggensperger dkk., 2021; Hussien dkk., 2024; Stoean dkk., 2023)","manualFormatting":"(Eggensperger dkk., 2021; Stoean dkk., 2023; Hussien dkk., 2024)","plainTextFormattedCitation":"(Eggensperger dkk., 2021; Hussien dkk., 2024; Stoean dkk., 2023)","previouslyFormattedCitation":"(Eggensperger &lt;i&gt;et al.&lt;/i&gt;, 2021; Stoean &lt;i&gt;et al.&lt;/i&gt;, 2023; Hussien &lt;i&gt;et al.&lt;/i&gt;, 2024)"},"properties":{"noteIndex":0},"schema":"https://github.com/citation-style-language/schema/raw/master/csl-citation.json"}</w:instrText>
      </w:r>
      <w:r>
        <w:rPr>
          <w:shd w:val="clear" w:color="auto" w:fill="FFFFFF"/>
        </w:rPr>
        <w:fldChar w:fldCharType="separate"/>
      </w:r>
      <w:r>
        <w:rPr>
          <w:shd w:val="clear" w:color="auto" w:fill="FFFFFF"/>
        </w:rPr>
        <w:t>(Eggensperger dkk., 2021; Stoean dkk., 2023; Hussien dkk., 2024)</w:t>
      </w:r>
      <w:r>
        <w:rPr>
          <w:shd w:val="clear" w:color="auto" w:fill="FFFFFF"/>
        </w:rPr>
        <w:fldChar w:fldCharType="end"/>
      </w:r>
      <w:r>
        <w:rPr>
          <w:shd w:val="clear" w:color="auto" w:fill="FFFFFF"/>
        </w:rPr>
        <w:t xml:space="preserve">. </w:t>
      </w:r>
      <w:r>
        <w:t>Keterbatasan ini mengungkap celah kritis</w:t>
      </w:r>
      <w:r>
        <w:rPr>
          <w:lang w:val="en-US"/>
        </w:rPr>
        <w:t xml:space="preserve"> bahwa</w:t>
      </w:r>
      <w:r>
        <w:t xml:space="preserve"> belum tersedianya algoritma </w:t>
      </w:r>
      <w:r>
        <w:rPr>
          <w:i/>
          <w:lang w:val="en-US"/>
        </w:rPr>
        <w:t>hyperparameter optimization</w:t>
      </w:r>
      <w:r>
        <w:rPr>
          <w:lang w:val="en-US"/>
        </w:rPr>
        <w:t xml:space="preserve"> (HPO)</w:t>
      </w:r>
      <w:r>
        <w:t xml:space="preserve"> yang dirancang khusus untuk mengoptimalkan </w:t>
      </w:r>
      <w:r>
        <w:rPr>
          <w:i/>
        </w:rPr>
        <w:t>Transformer</w:t>
      </w:r>
      <w:r>
        <w:t xml:space="preserve"> yang menyeimbangkan akurasi</w:t>
      </w:r>
      <w:r>
        <w:rPr>
          <w:lang w:val="en-US"/>
        </w:rPr>
        <w:t>, stabilitas</w:t>
      </w:r>
      <w:r>
        <w:t xml:space="preserve"> dan efisiensi</w:t>
      </w:r>
      <w:r>
        <w:rPr>
          <w:lang w:val="en-US"/>
        </w:rPr>
        <w:t xml:space="preserve"> komputasi</w:t>
      </w:r>
      <w:r>
        <w:t>.</w:t>
      </w:r>
    </w:p>
    <w:p w14:paraId="1DC0885C">
      <w:pPr>
        <w:spacing w:after="0"/>
        <w:ind w:firstLine="720"/>
        <w:rPr>
          <w:shd w:val="clear" w:color="auto" w:fill="FFFFFF"/>
          <w:lang w:val="en-US"/>
        </w:rPr>
      </w:pPr>
      <w:r>
        <w:rPr>
          <w:shd w:val="clear" w:color="auto" w:fill="FFFFFF"/>
          <w:lang w:val="en-US"/>
        </w:rPr>
        <w:t>S</w:t>
      </w:r>
      <w:r>
        <w:rPr>
          <w:shd w:val="clear" w:color="auto" w:fill="FFFFFF"/>
        </w:rPr>
        <w:t xml:space="preserve">tudi-studi terbaru menunjukkan bahwa </w:t>
      </w:r>
      <w:r>
        <w:rPr>
          <w:shd w:val="clear" w:color="auto" w:fill="FFFFFF"/>
          <w:lang w:val="en-US"/>
        </w:rPr>
        <w:t xml:space="preserve">algoritma </w:t>
      </w:r>
      <w:r>
        <w:rPr>
          <w:shd w:val="clear" w:color="auto" w:fill="FFFFFF"/>
        </w:rPr>
        <w:t>metaheuristik standar layaknya</w:t>
      </w:r>
      <w:r>
        <w:rPr>
          <w:shd w:val="clear" w:color="auto" w:fill="FFFFFF"/>
          <w:lang w:val="en-US"/>
        </w:rPr>
        <w:t xml:space="preserve"> </w:t>
      </w:r>
      <w:r>
        <w:rPr>
          <w:i/>
          <w:lang w:val="zh-CN"/>
        </w:rPr>
        <w:t>Particle Swarm Optimization</w:t>
      </w:r>
      <w:r>
        <w:rPr>
          <w:shd w:val="clear" w:color="auto" w:fill="FFFFFF"/>
        </w:rPr>
        <w:t xml:space="preserve"> </w:t>
      </w:r>
      <w:r>
        <w:rPr>
          <w:shd w:val="clear" w:color="auto" w:fill="FFFFFF"/>
          <w:lang w:val="en-US"/>
        </w:rPr>
        <w:t>(</w:t>
      </w:r>
      <w:r>
        <w:rPr>
          <w:shd w:val="clear" w:color="auto" w:fill="FFFFFF"/>
        </w:rPr>
        <w:t>PSO</w:t>
      </w:r>
      <w:r>
        <w:rPr>
          <w:shd w:val="clear" w:color="auto" w:fill="FFFFFF"/>
          <w:lang w:val="en-US"/>
        </w:rPr>
        <w:t>)</w:t>
      </w:r>
      <w:r>
        <w:rPr>
          <w:shd w:val="clear" w:color="auto" w:fill="FFFFFF"/>
        </w:rPr>
        <w:t xml:space="preserve">, dan </w:t>
      </w:r>
      <w:r>
        <w:rPr>
          <w:i/>
          <w:shd w:val="clear" w:color="auto" w:fill="FFFFFF"/>
          <w:lang w:val="en-US"/>
        </w:rPr>
        <w:t xml:space="preserve">Flower Pollination Algorithm </w:t>
      </w:r>
      <w:r>
        <w:rPr>
          <w:shd w:val="clear" w:color="auto" w:fill="FFFFFF"/>
          <w:lang w:val="en-US"/>
        </w:rPr>
        <w:t>(</w:t>
      </w:r>
      <w:r>
        <w:rPr>
          <w:shd w:val="clear" w:color="auto" w:fill="FFFFFF"/>
        </w:rPr>
        <w:t>FPA</w:t>
      </w:r>
      <w:r>
        <w:rPr>
          <w:shd w:val="clear" w:color="auto" w:fill="FFFFFF"/>
          <w:lang w:val="en-US"/>
        </w:rPr>
        <w:t>)</w:t>
      </w:r>
      <w:r>
        <w:rPr>
          <w:shd w:val="clear" w:color="auto" w:fill="FFFFFF"/>
        </w:rPr>
        <w:t xml:space="preserve"> </w:t>
      </w:r>
      <w:r>
        <w:rPr>
          <w:shd w:val="clear" w:color="auto" w:fill="FFFFFF"/>
          <w:lang w:val="en-US"/>
        </w:rPr>
        <w:t>bisa menangani ruang</w:t>
      </w:r>
      <w:r>
        <w:rPr>
          <w:i/>
          <w:shd w:val="clear" w:color="auto" w:fill="FFFFFF"/>
          <w:lang w:val="en-US"/>
        </w:rPr>
        <w:t xml:space="preserve"> hyperparameter </w:t>
      </w:r>
      <w:r>
        <w:rPr>
          <w:shd w:val="clear" w:color="auto" w:fill="FFFFFF"/>
          <w:lang w:val="en-US"/>
        </w:rPr>
        <w:t xml:space="preserve">non-konveks tersebut  </w:t>
      </w:r>
      <w:r>
        <w:rPr>
          <w:shd w:val="clear" w:color="auto" w:fill="FFFFFF"/>
          <w:lang w:val="en-US"/>
        </w:rPr>
        <w:fldChar w:fldCharType="begin" w:fldLock="1"/>
      </w:r>
      <w:r>
        <w:rPr>
          <w:shd w:val="clear" w:color="auto" w:fill="FFFFFF"/>
          <w:lang w:val="en-US"/>
        </w:rPr>
        <w:instrText xml:space="preserve">ADDIN CSL_CITATION {"citationItems":[{"id":"ITEM-1","itemData":{"DOI":"10.1186/s40537-025-01196-5","author":[{"dropping-particle":"","family":"Nayak","given":"G H Harish","non-dropping-particle":"","parse-names":false,"suffix":""},{"dropping-particle":"","family":"Alam","given":"Md. Wasi","non-dropping-particle":"","parse-names":false,"suffix":""},{"dropping-particle":"","family":"Naik","given":"B Samuel","non-dropping-particle":"","parse-names":false,"suffix":""},{"dropping-particle":"","family":"Varshini","given":"B S","non-dropping-particle":"","parse-names":false,"suffix":""},{"dropping-particle":"","family":"Avinash","given":"G","non-dropping-particle":"","parse-names":false,"suffix":""},{"dropping-particle":"","family":"Kumar","given":"Rajeev Ranjan","non-dropping-particle":"","parse-names":false,"suffix":""},{"dropping-particle":"","family":"Ray","given":"Mrinmoy","non-dropping-particle":"","parse-names":false,"suffix":""},{"dropping-particle":"","family":"Singh","given":"K N","non-dropping-particle":"","parse-names":false,"suffix":""}],"container-title":"Journal of Big Data","id":"ITEM-1","issue":"1","issued":{"date-parts":[["2025"]]},"title":"Meta-Transformer: Leveraging Metaheuristic Algorithms for Agricultural Commodity Price Forecasting","type":"article-journal","volume":"12"},"uris":["http://www.mendeley.com/documents/?uuid=39721585-2d42-436c-892a-6a6e6a5c4ee7"]},{"id":"ITEM-2","itemData":{"DOI":"10.7717/peerj-cs.834","ISSN":"2376-5992","abstract":" The demand for virtual machine requests has increased recently due to the growing number of users and applications. Therefore, virtual machine placement (VMP) is now critical for the provision of efficient resource management in cloud data centers. The VMP process considers the placement of a set of virtual machines onto a set of physical machines, in accordance with a set of criteria. The optimal solution for multi-objective VMP can be determined by using a fitness function that combines the objectives. This paper proposes a novel model to enhance the performance of the VMP decision-making process. Placement decisions are made based on a fitness function that combines three criteria: placement time, power consumption, and resource wastage. The proposed model aims to satisfy minimum values for the three objectives for placement onto all available physical machines. To optimize the VMP solution, the proposed fitness function was implemented using three optimization algorithms: particle swarm optimization with Lévy flight (PSOLF), flower pollination optimization (FPO), and a proposed hybrid algorithm (HPSOLF-FPO). Each algorithm was tested experimentally. The results of the comparative study between the three algorithms show that the hybrid algorithm has the strongest performance. Moreover, the proposed algorithm was tested against the bin packing best fit strategy. The results show that the proposed algorithm outperforms the best fit strategy in total server utilization. ","author":[{"dropping-particle":"","family":"Mejahed","given":"Sara","non-dropping-particle":"","parse-names":false,"suffix":""},{"dropping-particle":"","family":"Elshrkawey","given":"M","non-dropping-particle":"","parse-names":false,"suffix":""}],"container-title":"PeerJ Computer Science","editor":[{"dropping-particle":"","family":"Shang","given":"Yilun","non-dropping-particle":"","parse-names":false,"suffix":""}],"id":"ITEM-2","issued":{"date-parts":[["2022"]]},"page":"e834","title":"A multi-objective algorithm for virtual machine placement in cloud environments using a hybrid of particle swarm optimization and flower pollination optimization","type":"article-journal","volume":"8"},"uris":["http://www.mendeley.com/documents/?uuid=9d755b98-a025-4bf4-be46-05987bb06dd0"]}],"mendeley":{"formattedCitation":"(Mejahed dan Elshrkawey, 2022; Nayak dkk., 2025)","manualFormatting":"(Mejahed dan Elshrkawey, 2022; Nayak dkk., 2025)","plainTextFormattedCitation":"(Mejahed dan Elshrkawey, 2022; Nayak dkk., 2025)","previouslyFormattedCitation":"(Mejahed dan Elshrkawey, 2022; Nayak &lt;i&gt;et al.&lt;/i&gt;, 2025)"},"properties":{"noteIndex":0},"schema":"https://github.com/citation-style-language/schema/raw/master/csl-citation.json"}</w:instrText>
      </w:r>
      <w:r>
        <w:rPr>
          <w:shd w:val="clear" w:color="auto" w:fill="FFFFFF"/>
          <w:lang w:val="en-US"/>
        </w:rPr>
        <w:fldChar w:fldCharType="separate"/>
      </w:r>
      <w:r>
        <w:rPr>
          <w:shd w:val="clear" w:color="auto" w:fill="FFFFFF"/>
          <w:lang w:val="en-US"/>
        </w:rPr>
        <w:t>(Mejahed dan Elshrkawey, 2022; Nayak dkk., 2025)</w:t>
      </w:r>
      <w:r>
        <w:rPr>
          <w:shd w:val="clear" w:color="auto" w:fill="FFFFFF"/>
          <w:lang w:val="en-US"/>
        </w:rPr>
        <w:fldChar w:fldCharType="end"/>
      </w:r>
      <w:r>
        <w:rPr>
          <w:shd w:val="clear" w:color="auto" w:fill="FFFFFF"/>
          <w:lang w:val="en-US"/>
        </w:rPr>
        <w:t xml:space="preserve">. Namun algoritma ini </w:t>
      </w:r>
      <w:r>
        <w:rPr>
          <w:shd w:val="clear" w:color="auto" w:fill="FFFFFF"/>
        </w:rPr>
        <w:t>tetap menghadapi tantangan serius</w:t>
      </w:r>
      <w:r>
        <w:rPr>
          <w:shd w:val="clear" w:color="auto" w:fill="FFFFFF"/>
          <w:lang w:val="en-US"/>
        </w:rPr>
        <w:t>, yakni</w:t>
      </w:r>
      <w:r>
        <w:rPr>
          <w:shd w:val="clear" w:color="auto" w:fill="FFFFFF"/>
        </w:rPr>
        <w:t xml:space="preserve"> cenderung </w:t>
      </w:r>
      <w:r>
        <w:t>rawan terjebak di optimum lokal akibat stagnasi diversitas populasi</w:t>
      </w:r>
      <w:r>
        <w:rPr>
          <w:lang w:val="en-US"/>
        </w:rPr>
        <w:t>,</w:t>
      </w:r>
      <w:r>
        <w:rPr>
          <w:shd w:val="clear" w:color="auto" w:fill="FFFFFF"/>
        </w:rPr>
        <w:t xml:space="preserve"> dan butuh komputasi yang besar ketika digunakan untuk arsitektur berskala besar  </w:t>
      </w:r>
      <w:r>
        <w:rPr>
          <w:shd w:val="clear" w:color="auto" w:fill="FFFFFF"/>
        </w:rPr>
        <w:fldChar w:fldCharType="begin" w:fldLock="1"/>
      </w:r>
      <w:r>
        <w:rPr>
          <w:shd w:val="clear" w:color="auto" w:fill="FFFFFF"/>
        </w:rPr>
        <w:instrText xml:space="preserve">ADDIN CSL_CITATION {"citationItems":[{"id":"ITEM-1","itemData":{"DOI":"10.3390/axioms12030266","abstract":"As solar energy generation has become more and more important for the economies of numerous countries in the last couple of decades, it is highly important to build accurate models for forecasting the amount of green energy that will be produced. Numerous recurrent deep learning approaches, mainly based on long short-term memory (LSTM), are proposed for dealing with such problems, but the most accurate models may differ from one test case to another with respect to architecture and hyperparameters. In the current study, the use of an LSTM and a bidirectional LSTM (BiLSTM) is proposed for dealing with a data collection that, besides the time series values denoting the solar energy generation, also comprises corresponding information about the weather. The proposed research additionally endows the models with hyperparameter tuning by means of an enhanced version of a recently proposed metaheuristic, the reptile search algorithm (RSA). The output of the proposed tuned recurrent neural network models is compared to the ones of several other state-of-the-art metaheuristic optimization approaches that are applied for the same task, using the same experimental setup, and the obtained results indicate the proposed approach as the better alternative. Moreover, the best recurrent model achieved the best results with R2 of 0.604, and a normalized MSE value of 0.014, which yields an improvement of around 13% over traditional machine learning models.","author":[{"dropping-particle":"","family":"Stoean","given":"Catalin","non-dropping-particle":"","parse-names":false,"suffix":""},{"dropping-particle":"","family":"Zivkovic","given":"Miodrag","non-dropping-particle":"","parse-names":false,"suffix":""},{"dropping-particle":"","family":"Bozovic","given":"Aleksandra","non-dropping-particle":"","parse-names":false,"suffix":""},{"dropping-particle":"","family":"Bacanin","given":"Nebojsa","non-dropping-particle":"","parse-names":false,"suffix":""},{"dropping-particle":"","family":"Strulak-Wójcikiewicz","given":"Roma","non-dropping-particle":"","parse-names":false,"suffix":""},{"dropping-particle":"","family":"Antonijevic","given":"Milos","non-dropping-particle":"","parse-names":false,"suffix":""},{"dropping-particle":"","family":"Stoean","given":"Ruxandra","non-dropping-particle":"","parse-names":false,"suffix":""}],"container-title":"Axioms","id":"ITEM-1","issue":"3","issued":{"date-parts":[["2023"]]},"page":"266","title":"Metaheuristic-Based Hyperparameter Tuning for Recurrent Deep Learning: Application to the Prediction of Solar Energy Generation","type":"article-journal","volume":"12"},"uris":["http://www.mendeley.com/documents/?uuid=266deb48-c466-47a7-821c-6efece9aee4a"]}],"mendeley":{"formattedCitation":"(Stoean dkk., 2023)","manualFormatting":"(Stoean dkk., 2023)","plainTextFormattedCitation":"(Stoean dkk., 2023)","previouslyFormattedCitation":"(Stoean &lt;i&gt;et al.&lt;/i&gt;, 2023)"},"properties":{"noteIndex":0},"schema":"https://github.com/citation-style-language/schema/raw/master/csl-citation.json"}</w:instrText>
      </w:r>
      <w:r>
        <w:rPr>
          <w:shd w:val="clear" w:color="auto" w:fill="FFFFFF"/>
        </w:rPr>
        <w:fldChar w:fldCharType="separate"/>
      </w:r>
      <w:r>
        <w:rPr>
          <w:shd w:val="clear" w:color="auto" w:fill="FFFFFF"/>
        </w:rPr>
        <w:t>(Stoean dkk., 2023)</w:t>
      </w:r>
      <w:r>
        <w:rPr>
          <w:shd w:val="clear" w:color="auto" w:fill="FFFFFF"/>
        </w:rPr>
        <w:fldChar w:fldCharType="end"/>
      </w:r>
      <w:r>
        <w:rPr>
          <w:shd w:val="clear" w:color="auto" w:fill="FFFFFF"/>
        </w:rPr>
        <w:t xml:space="preserve">. </w:t>
      </w:r>
      <w:r>
        <w:rPr>
          <w:lang w:val="en-US"/>
        </w:rPr>
        <w:t>Menanggapi</w:t>
      </w:r>
      <w:r>
        <w:t xml:space="preserve"> kendala ini, pendekatan </w:t>
      </w:r>
      <w:r>
        <w:rPr>
          <w:i/>
          <w:iCs/>
        </w:rPr>
        <w:t>hybrid metaheuristics</w:t>
      </w:r>
      <w:r>
        <w:t xml:space="preserve"> menjadi </w:t>
      </w:r>
      <w:r>
        <w:rPr>
          <w:lang w:val="en-US"/>
        </w:rPr>
        <w:t xml:space="preserve">salah satu </w:t>
      </w:r>
      <w:r>
        <w:t>solusi untuk menyeimbangkan efisiensi dan akurasi</w:t>
      </w:r>
      <w:r>
        <w:rPr>
          <w:shd w:val="clear" w:color="auto" w:fill="FFFFFF"/>
          <w:lang w:val="en-US"/>
        </w:rPr>
        <w:t xml:space="preserve"> </w:t>
      </w:r>
      <w:r>
        <w:rPr>
          <w:shd w:val="clear" w:color="auto" w:fill="FFFFFF"/>
        </w:rPr>
        <w:fldChar w:fldCharType="begin" w:fldLock="1"/>
      </w:r>
      <w:r>
        <w:rPr>
          <w:shd w:val="clear" w:color="auto" w:fill="FFFFFF"/>
        </w:rPr>
        <w:instrText xml:space="preserve">ADDIN CSL_CITATION {"citationItems":[{"id":"ITEM-1","itemData":{"DOI":"10.32832/astonjadro.v13i2.16251","abstract":"During the period from 2014 to 2020, approximately 24 out of 44 districts in Jakarta experienced flooding disasters. Notably, at the beginning of January 2020, the Manggarai floodgate recorded a water height of 962 cm, categorized under Alert Level 1, indicating a critical and hazardous situation that required the evacuation of residents to safe places. This circumstance prompted the local government to enhance the monitoring and prediction system for water levels across all floodgates in the DKI Jakarta region. By utilizing improved water height predictions, the government can prepare more effective mitigation measures, such as reinforcing embankments, improving water channels, and implementing preventive actions prior to the occurrence of flooding disasters. The forecasting technique employing Long Short-Term Memory (LSTM) has been widely employed in previous research to predict water heights. Unfortunately, the accuracy of LSTM heavily depends on the manual selection of hyperparameters. The optimization of hyperparameters in LSTM is essential to find the optimal combination of values that influence the performance of the LSTM network. The objective is to maximize the model's performance, such as accuracy or lower error rates on previously unseen data. This optimization process plays a crucial role in achieving good results from the LSTM model, as the right choice of hyperparameters can yield a model that better understands complex patterns in the data. This research aims to determine the optimal hyperparameters using a hybrid optimization method. The hyperparameter optimization involves a combined approach of Sparrow Search Algorithm (SSA) and Particle Swarm Optimization (PSO) known as Hybrid SSA-PSO. This hybrid method is employed to reduce the error rate in predictions. The research outcomes, utilizing the Hybrid SSA-PSO optimization, revealed the smallest Root Mean Square Error (RMSE) evaluation at the Pulo Gadung water gate, measuring 9,553.","author":[{"dropping-particle":"","family":"Farisi","given":"Imam","non-dropping-particle":"","parse-names":false,"suffix":""},{"dropping-particle":"","family":"Hardjianto","given":"Mardi","non-dropping-particle":"","parse-names":false,"suffix":""}],"container-title":"Astonjadro","id":"ITEM-1","issue":"2","issued":{"date-parts":[["2024"]]},"page":"614-626","title":"Long Short-Term Memory Optimization Using Hybrid Sparrow Search Algorithm and Particle Swarm Optimization in Prediction of Water Level at Sluice Gates","type":"article-journal","volume":"13"},"uris":["http://www.mendeley.com/documents/?uuid=88958c1a-43be-4cc1-a9b4-11e0324819b7"]}],"mendeley":{"formattedCitation":"(Farisi dan Hardjianto, 2024)","manualFormatting":"(Farisi dan Hardjianto, 2024)","plainTextFormattedCitation":"(Farisi dan Hardjianto, 2024)","previouslyFormattedCitation":"(Farisi dan Hardjianto, 2024)"},"properties":{"noteIndex":0},"schema":"https://github.com/citation-style-language/schema/raw/master/csl-citation.json"}</w:instrText>
      </w:r>
      <w:r>
        <w:rPr>
          <w:shd w:val="clear" w:color="auto" w:fill="FFFFFF"/>
        </w:rPr>
        <w:fldChar w:fldCharType="separate"/>
      </w:r>
      <w:r>
        <w:rPr>
          <w:shd w:val="clear" w:color="auto" w:fill="FFFFFF"/>
        </w:rPr>
        <w:t>(Farisi dan Hardjianto, 2024)</w:t>
      </w:r>
      <w:r>
        <w:rPr>
          <w:shd w:val="clear" w:color="auto" w:fill="FFFFFF"/>
        </w:rPr>
        <w:fldChar w:fldCharType="end"/>
      </w:r>
      <w:r>
        <w:rPr>
          <w:shd w:val="clear" w:color="auto" w:fill="FFFFFF"/>
        </w:rPr>
        <w:t xml:space="preserve">. </w:t>
      </w:r>
      <w:r>
        <w:t xml:space="preserve">Oleh </w:t>
      </w:r>
      <w:r>
        <w:rPr>
          <w:lang w:val="en-US"/>
        </w:rPr>
        <w:t>sebab</w:t>
      </w:r>
      <w:r>
        <w:t xml:space="preserve"> itu, penelitian ini mengusulkan algoritma IFPOA-X (</w:t>
      </w:r>
      <w:r>
        <w:rPr>
          <w:i/>
          <w:iCs/>
        </w:rPr>
        <w:t>Improved Flower Pollination Optimization Algorithm – Extended</w:t>
      </w:r>
      <w:r>
        <w:t>)</w:t>
      </w:r>
      <w:r>
        <w:rPr>
          <w:lang w:val="en-US"/>
        </w:rPr>
        <w:t xml:space="preserve">, </w:t>
      </w:r>
      <w:r>
        <w:t xml:space="preserve">yaitu varian </w:t>
      </w:r>
      <w:r>
        <w:rPr>
          <w:lang w:val="en-US"/>
        </w:rPr>
        <w:t xml:space="preserve">baru </w:t>
      </w:r>
      <w:r>
        <w:t xml:space="preserve">FPA yang </w:t>
      </w:r>
      <w:r>
        <w:rPr>
          <w:lang w:val="en-US"/>
        </w:rPr>
        <w:t>mengintegrasikan</w:t>
      </w:r>
      <w:r>
        <w:t xml:space="preserve"> beberapa mekanisme strategis </w:t>
      </w:r>
      <w:r>
        <w:rPr>
          <w:lang w:val="en-US"/>
        </w:rPr>
        <w:t xml:space="preserve">ke </w:t>
      </w:r>
      <w:r>
        <w:t xml:space="preserve">dalam </w:t>
      </w:r>
      <w:r>
        <w:rPr>
          <w:lang w:val="en-US"/>
        </w:rPr>
        <w:t xml:space="preserve">FPA </w:t>
      </w:r>
      <w:r>
        <w:t>untuk mencapai keseimbangan akurasi</w:t>
      </w:r>
      <w:r>
        <w:rPr>
          <w:lang w:val="en-US"/>
        </w:rPr>
        <w:t>, stabilitas</w:t>
      </w:r>
      <w:r>
        <w:t xml:space="preserve"> dan efisiensi</w:t>
      </w:r>
      <w:r>
        <w:rPr>
          <w:lang w:val="en-US"/>
        </w:rPr>
        <w:t xml:space="preserve"> komputasi</w:t>
      </w:r>
      <w:r>
        <w:t>.</w:t>
      </w:r>
    </w:p>
    <w:p w14:paraId="7E3BF574">
      <w:pPr>
        <w:ind w:firstLine="720"/>
      </w:pPr>
      <w:r>
        <w:t xml:space="preserve">Selain akurasi, tantangan operasional utama terletak pada kemampuan model untuk diimplementasikan lintas wilayah dengan karakteristik </w:t>
      </w:r>
      <w:r>
        <w:rPr>
          <w:lang w:val="en-US"/>
        </w:rPr>
        <w:t>pola hujan</w:t>
      </w:r>
      <w:r>
        <w:t xml:space="preserve"> yang berbeda. Konteks ini menuntut pendekatan pemodelan yang tidak hanya akurat secara lokal, tetapi juga mampu beradaptasi secara efisien terhadap perbedaan dinamika pola hujan. Dalam konteks ini, </w:t>
      </w:r>
      <w:r>
        <w:rPr>
          <w:i/>
        </w:rPr>
        <w:t>transfer learning</w:t>
      </w:r>
      <w:r>
        <w:t xml:space="preserve"> relevan karena memungkinkan transfer pengetahuan dari wilayah sumber ke wilayah target dengan keterbatasan data</w:t>
      </w:r>
      <w:r>
        <w:rPr>
          <w:lang w:val="en-US"/>
        </w:rPr>
        <w:t xml:space="preserve"> </w:t>
      </w:r>
      <w:r>
        <w:rPr>
          <w:lang w:val="en-US"/>
        </w:rPr>
        <w:fldChar w:fldCharType="begin" w:fldLock="1"/>
      </w:r>
      <w:r>
        <w:rPr>
          <w:lang w:val="en-US"/>
        </w:rPr>
        <w:instrText xml:space="preserve">ADDIN CSL_CITATION {"citationItems":[{"id":"ITEM-1","itemData":{"DOI":"10.47852/bonviewjcce42022817","author":[{"dropping-particle":"","family":"Pal","given":"Sankar K","non-dropping-particle":"","parse-names":false,"suffix":""},{"dropping-particle":"","family":"Dutta","given":"Debashree","non-dropping-particle":"","parse-names":false,"suffix":""}],"container-title":"Journal of Computational and Cognitive Engineering","id":"ITEM-1","issue":"4","issued":{"date-parts":[["2024"]]},"page":"324-347","title":"Transfer Learning in Weather Prediction: Why, How, and What Should","type":"article-journal","volume":"3"},"uris":["http://www.mendeley.com/documents/?uuid=0a9f887a-204d-4772-a456-bf6fc6466765"]}],"mendeley":{"formattedCitation":"(Pal dan Dutta, 2024)","manualFormatting":"(Pal dan Dutta, 2024)","plainTextFormattedCitation":"(Pal dan Dutta, 2024)","previouslyFormattedCitation":"(Pal dan Dutta, 2024)"},"properties":{"noteIndex":0},"schema":"https://github.com/citation-style-language/schema/raw/master/csl-citation.json"}</w:instrText>
      </w:r>
      <w:r>
        <w:rPr>
          <w:lang w:val="en-US"/>
        </w:rPr>
        <w:fldChar w:fldCharType="separate"/>
      </w:r>
      <w:r>
        <w:rPr>
          <w:lang w:val="en-US"/>
        </w:rPr>
        <w:t>(Pal dan Dutta, 2024)</w:t>
      </w:r>
      <w:r>
        <w:rPr>
          <w:lang w:val="en-US"/>
        </w:rPr>
        <w:fldChar w:fldCharType="end"/>
      </w:r>
      <w:r>
        <w:rPr>
          <w:lang w:val="en-US"/>
        </w:rPr>
        <w:t xml:space="preserve">. </w:t>
      </w:r>
      <w:r>
        <w:t xml:space="preserve">Penelitian ini meninjau tiga zona klimatologis kontras sebagai representasi pola hujan di Indonesia, yaitu monsunal, ekuatorial, dan lokal </w:t>
      </w:r>
      <w:r>
        <w:fldChar w:fldCharType="begin" w:fldLock="1"/>
      </w:r>
      <w:r>
        <w:instrText xml:space="preserve">ADDIN CSL_CITATION {"citationItems":[{"id":"ITEM-1","itemData":{"DOI":"https://doi.org/10.1002/joc.950","ISSN":"0899-8418","abstract":"Abstract The characteristics of climatic rainfall variability in Indonesia are investigated using a double correlation method. The results are compared with empirical orthogonal function (EOF) and rotated EOF methods. In addition, local and remote responses to sea-surface temperature (SST) are discussed. The results suggest three climatic regions in Indonesia with their distinct characteristics. Region A is located in southern Indonesia from south Sumatera to Timor island, southern Kalimantan, Sulawesi and part of Irian Jaya. Region B is located in northwest Indonesia from northern Sumatra to northwestern Kalimantan. Region C encompasses Maluku and northern Sulawesi. All three regions show both strong annual and, except Region A, semi-annual variability. Region C shows the strongest El Niño?southern oscillation (ENSO) influence, followed by Region A. In Region B, the ENSO-related signal is suppressed. Except for Region B, there are significant correlations between SST and the rainfall variabilities, indicating a strong possibility for seasonal climate predictions. March to May is the most difficult season to predict the rainfall variability. From June to November, there are significant responses of the rainfall pattern to ENSO in Regions A and C. A strong ENSO influence during this normally dry season (June to September) is hazardous in El Niño years, because the negative response means that higher SST in the NIÑO3 of the Pacific region will lower the rainfall amount over the Indonesian region. Analyses of Indonesian rainfall variability reveal some sensitivities to SST variabilities in adjacent parts of the Indian and Pacific Oceans. Copyright ? 2003 Royal Meteorological Society","author":[{"dropping-particle":"","family":"Aldrian","given":"Edvin","non-dropping-particle":"","parse-names":false,"suffix":""},{"dropping-particle":"","family":"Dwi Susanto","given":"R","non-dropping-particle":"","parse-names":false,"suffix":""}],"container-title":"International Journal of Climatology","id":"ITEM-1","issue":"12","issued":{"date-parts":[["2003","10","1"]]},"page":"1435-1452","publisher":"John Wiley &amp; Sons, Ltd","title":"Identification of three dominant rainfall regions within Indonesia and their relationship to sea surface temperature","type":"article-journal","volume":"23"},"uris":["http://www.mendeley.com/documents/?uuid=72070aeb-0dd2-4839-9d71-a4c3368ca89e"]}],"mendeley":{"formattedCitation":"(Aldrian dan Dwi Susanto, 2003)","manualFormatting":"(Aldrian dan Dwi Susanto, 2003)","plainTextFormattedCitation":"(Aldrian dan Dwi Susanto, 2003)","previouslyFormattedCitation":"(Aldrian dan Dwi Susanto, 2003)"},"properties":{"noteIndex":0},"schema":"https://github.com/citation-style-language/schema/raw/master/csl-citation.json"}</w:instrText>
      </w:r>
      <w:r>
        <w:fldChar w:fldCharType="separate"/>
      </w:r>
      <w:r>
        <w:t>(Aldrian dan Dwi Susanto, 2003)</w:t>
      </w:r>
      <w:r>
        <w:fldChar w:fldCharType="end"/>
      </w:r>
      <w:r>
        <w:t xml:space="preserve">. </w:t>
      </w:r>
      <w:r>
        <w:rPr>
          <w:lang w:val="en-US"/>
        </w:rPr>
        <w:t>Alhasil</w:t>
      </w:r>
      <w:r>
        <w:t xml:space="preserve">, penelitian ini mengusulkan </w:t>
      </w:r>
      <w:r>
        <w:rPr>
          <w:lang w:val="en-US"/>
        </w:rPr>
        <w:t>model</w:t>
      </w:r>
      <w:r>
        <w:t xml:space="preserve"> </w:t>
      </w:r>
      <w:r>
        <w:rPr>
          <w:i/>
        </w:rPr>
        <w:t>ToMarx</w:t>
      </w:r>
      <w:r>
        <w:t xml:space="preserve"> (</w:t>
      </w:r>
      <w:r>
        <w:rPr>
          <w:i/>
        </w:rPr>
        <w:t>Transfer Learning</w:t>
      </w:r>
      <w:r>
        <w:t xml:space="preserve"> dan </w:t>
      </w:r>
      <w:r>
        <w:rPr>
          <w:i/>
        </w:rPr>
        <w:t>Transformer Encoder-Only Optimized by IFPOA-X</w:t>
      </w:r>
      <w:r>
        <w:t xml:space="preserve">) yang mengintegrasikan arsitektur </w:t>
      </w:r>
      <w:r>
        <w:rPr>
          <w:i/>
        </w:rPr>
        <w:t>Transformer encoder-only</w:t>
      </w:r>
      <w:r>
        <w:t xml:space="preserve"> sebagai model</w:t>
      </w:r>
      <w:r>
        <w:rPr>
          <w:lang w:val="en-US"/>
        </w:rPr>
        <w:t xml:space="preserve">, lalu </w:t>
      </w:r>
      <w:r>
        <w:rPr>
          <w:i/>
        </w:rPr>
        <w:t>transfer learning</w:t>
      </w:r>
      <w:r>
        <w:t xml:space="preserve"> untuk adaptasi lintas lokasi</w:t>
      </w:r>
      <w:r>
        <w:rPr>
          <w:lang w:val="en-US"/>
        </w:rPr>
        <w:t>, dan</w:t>
      </w:r>
      <w:r>
        <w:t xml:space="preserve"> IFPOA-X </w:t>
      </w:r>
      <w:r>
        <w:rPr>
          <w:lang w:val="en-US"/>
        </w:rPr>
        <w:t>untuk</w:t>
      </w:r>
      <w:r>
        <w:t xml:space="preserve"> </w:t>
      </w:r>
      <w:r>
        <w:rPr>
          <w:lang w:val="en-US"/>
        </w:rPr>
        <w:t>optimasi</w:t>
      </w:r>
      <w:r>
        <w:t xml:space="preserve"> </w:t>
      </w:r>
      <w:r>
        <w:rPr>
          <w:i/>
        </w:rPr>
        <w:t>hyperparameter</w:t>
      </w:r>
      <w:r>
        <w:t xml:space="preserve">, </w:t>
      </w:r>
      <w:r>
        <w:rPr>
          <w:lang w:val="en-US"/>
        </w:rPr>
        <w:t>dengan tujuan</w:t>
      </w:r>
      <w:r>
        <w:t xml:space="preserve"> menghasilkan instrumen peramalan </w:t>
      </w:r>
      <w:r>
        <w:rPr>
          <w:lang w:val="en-US"/>
        </w:rPr>
        <w:t xml:space="preserve">curah hujan </w:t>
      </w:r>
      <w:r>
        <w:t xml:space="preserve">yang </w:t>
      </w:r>
      <w:r>
        <w:rPr>
          <w:lang w:val="en-US"/>
        </w:rPr>
        <w:t>akurat</w:t>
      </w:r>
      <w:r>
        <w:t xml:space="preserve">, </w:t>
      </w:r>
      <w:r>
        <w:rPr>
          <w:i/>
        </w:rPr>
        <w:t>robust</w:t>
      </w:r>
      <w:r>
        <w:t xml:space="preserve">, </w:t>
      </w:r>
      <w:r>
        <w:rPr>
          <w:lang w:val="en-US"/>
        </w:rPr>
        <w:t xml:space="preserve">efisien </w:t>
      </w:r>
      <w:r>
        <w:t xml:space="preserve">dan adaptif terhadap dinamika </w:t>
      </w:r>
      <w:r>
        <w:rPr>
          <w:lang w:val="en-US"/>
        </w:rPr>
        <w:t>pola hujan di Indonesia</w:t>
      </w:r>
      <w:r>
        <w:t>.</w:t>
      </w:r>
    </w:p>
    <w:p w14:paraId="5D4460A5">
      <w:pPr>
        <w:pStyle w:val="3"/>
        <w:rPr>
          <w:shd w:val="clear" w:color="auto" w:fill="FFFFFF"/>
        </w:rPr>
      </w:pPr>
      <w:bookmarkStart w:id="16" w:name="_Toc236076718"/>
      <w:r>
        <w:rPr>
          <w:shd w:val="clear" w:color="auto" w:fill="FFFFFF"/>
        </w:rPr>
        <w:t>1.2 Rumusan Masalah</w:t>
      </w:r>
      <w:bookmarkEnd w:id="16"/>
    </w:p>
    <w:p w14:paraId="233C7D60">
      <w:pPr>
        <w:pStyle w:val="33"/>
        <w:numPr>
          <w:ilvl w:val="0"/>
          <w:numId w:val="4"/>
        </w:numPr>
        <w:spacing w:after="0"/>
        <w:ind w:left="720"/>
      </w:pPr>
      <w:r>
        <w:t xml:space="preserve">Bagaimana </w:t>
      </w:r>
      <w:r>
        <w:rPr>
          <w:lang w:val="en-US"/>
        </w:rPr>
        <w:t xml:space="preserve">mengembangkan dan menilai </w:t>
      </w:r>
      <w:r>
        <w:t xml:space="preserve">efektivitas algoritma </w:t>
      </w:r>
      <w:r>
        <w:rPr>
          <w:bCs/>
        </w:rPr>
        <w:t>IFPOA-X</w:t>
      </w:r>
      <w:r>
        <w:rPr>
          <w:bCs/>
          <w:lang w:val="en-US"/>
        </w:rPr>
        <w:t xml:space="preserve"> dibanding algoritma lain</w:t>
      </w:r>
      <w:r>
        <w:rPr>
          <w:lang w:val="en-US"/>
        </w:rPr>
        <w:t xml:space="preserve"> </w:t>
      </w:r>
      <w:r>
        <w:t xml:space="preserve">melalui integrasi </w:t>
      </w:r>
      <w:r>
        <w:rPr>
          <w:lang w:val="en-US"/>
        </w:rPr>
        <w:t xml:space="preserve">berbagai </w:t>
      </w:r>
      <w:r>
        <w:t xml:space="preserve">mekanisme dalam menangani kompleksitas ruang pencarian </w:t>
      </w:r>
      <w:r>
        <w:rPr>
          <w:i/>
          <w:iCs/>
        </w:rPr>
        <w:t>hyperparameter</w:t>
      </w:r>
      <w:r>
        <w:t xml:space="preserve"> </w:t>
      </w:r>
      <w:r>
        <w:rPr>
          <w:i/>
        </w:rPr>
        <w:t>Transformer</w:t>
      </w:r>
      <w:r>
        <w:t xml:space="preserve"> </w:t>
      </w:r>
      <w:r>
        <w:rPr>
          <w:lang w:val="en-US"/>
        </w:rPr>
        <w:t xml:space="preserve">dan model </w:t>
      </w:r>
      <w:r>
        <w:rPr>
          <w:i/>
          <w:lang w:val="en-US"/>
        </w:rPr>
        <w:t xml:space="preserve">baseline </w:t>
      </w:r>
      <w:r>
        <w:rPr>
          <w:lang w:val="en-US"/>
        </w:rPr>
        <w:t>yang</w:t>
      </w:r>
      <w:r>
        <w:t xml:space="preserve"> </w:t>
      </w:r>
      <w:r>
        <w:rPr>
          <w:lang w:val="en-US"/>
        </w:rPr>
        <w:t>non-konveks</w:t>
      </w:r>
      <w:r>
        <w:t>?</w:t>
      </w:r>
    </w:p>
    <w:p w14:paraId="62A280C6">
      <w:pPr>
        <w:pStyle w:val="33"/>
        <w:numPr>
          <w:ilvl w:val="0"/>
          <w:numId w:val="4"/>
        </w:numPr>
        <w:spacing w:after="0"/>
        <w:ind w:left="720"/>
      </w:pPr>
      <w:r>
        <w:t xml:space="preserve">Bagaimana </w:t>
      </w:r>
      <w:r>
        <w:rPr>
          <w:lang w:val="en-US"/>
        </w:rPr>
        <w:t xml:space="preserve">kontribusi </w:t>
      </w:r>
      <w:r>
        <w:rPr>
          <w:bCs/>
          <w:i/>
        </w:rPr>
        <w:t>Transfer Learning</w:t>
      </w:r>
      <w:r>
        <w:t xml:space="preserve"> dalam </w:t>
      </w:r>
      <w:r>
        <w:rPr>
          <w:lang w:val="en-US"/>
        </w:rPr>
        <w:t>model</w:t>
      </w:r>
      <w:r>
        <w:t xml:space="preserve"> </w:t>
      </w:r>
      <w:r>
        <w:rPr>
          <w:bCs/>
          <w:i/>
        </w:rPr>
        <w:t>ToMarx</w:t>
      </w:r>
      <w:r>
        <w:t xml:space="preserve"> dapat meningkatkan efisiensi komputasi dan konvergensi model saat diadaptasi lintas wilayah </w:t>
      </w:r>
      <w:r>
        <w:rPr>
          <w:lang w:val="en-US"/>
        </w:rPr>
        <w:t>pola hujan</w:t>
      </w:r>
      <w:r>
        <w:t xml:space="preserve"> yang </w:t>
      </w:r>
      <w:r>
        <w:rPr>
          <w:lang w:val="en-US"/>
        </w:rPr>
        <w:t xml:space="preserve">sama maupun </w:t>
      </w:r>
      <w:r>
        <w:t>berbeda</w:t>
      </w:r>
      <w:r>
        <w:rPr>
          <w:lang w:val="en-US"/>
        </w:rPr>
        <w:t>?</w:t>
      </w:r>
    </w:p>
    <w:p w14:paraId="0F330EEA">
      <w:pPr>
        <w:pStyle w:val="33"/>
        <w:numPr>
          <w:ilvl w:val="0"/>
          <w:numId w:val="4"/>
        </w:numPr>
        <w:ind w:left="720"/>
      </w:pPr>
      <w:r>
        <w:t xml:space="preserve">Bagaimana performa model </w:t>
      </w:r>
      <w:r>
        <w:rPr>
          <w:i/>
        </w:rPr>
        <w:t>ToMarx</w:t>
      </w:r>
      <w:r>
        <w:t xml:space="preserve"> dalam memprediksi curah hujan dasarian pada </w:t>
      </w:r>
      <w:r>
        <w:rPr>
          <w:lang w:val="en-US"/>
        </w:rPr>
        <w:t>3</w:t>
      </w:r>
      <w:r>
        <w:t xml:space="preserve"> </w:t>
      </w:r>
      <w:r>
        <w:rPr>
          <w:lang w:val="en-US"/>
        </w:rPr>
        <w:t>pola hujan</w:t>
      </w:r>
      <w:r>
        <w:t xml:space="preserve"> kontras (</w:t>
      </w:r>
      <w:r>
        <w:rPr>
          <w:lang w:val="en-US"/>
        </w:rPr>
        <w:t>monsunal, ekuatorial dan lokal</w:t>
      </w:r>
      <w:r>
        <w:t xml:space="preserve">) dibandingkan dengan model </w:t>
      </w:r>
      <w:r>
        <w:rPr>
          <w:iCs/>
          <w:lang w:val="en-US"/>
        </w:rPr>
        <w:t>konvensional</w:t>
      </w:r>
      <w:r>
        <w:t>?</w:t>
      </w:r>
    </w:p>
    <w:p w14:paraId="34CFD876">
      <w:pPr>
        <w:pStyle w:val="3"/>
        <w:rPr>
          <w:shd w:val="clear" w:color="auto" w:fill="FFFFFF"/>
        </w:rPr>
      </w:pPr>
      <w:bookmarkStart w:id="17" w:name="_Toc236076719"/>
      <w:r>
        <w:rPr>
          <w:shd w:val="clear" w:color="auto" w:fill="FFFFFF"/>
        </w:rPr>
        <w:t>1.3 Batasan Masalah</w:t>
      </w:r>
      <w:bookmarkEnd w:id="17"/>
    </w:p>
    <w:p w14:paraId="24AFFC36">
      <w:pPr>
        <w:spacing w:after="0"/>
        <w:rPr>
          <w:rFonts w:cs="Times New Roman"/>
        </w:rPr>
      </w:pPr>
      <w:r>
        <w:rPr>
          <w:shd w:val="clear" w:color="auto" w:fill="FFFFFF"/>
        </w:rPr>
        <w:t>Penelitian ini dibatasi pada ruang lingkup sebagai berikut:</w:t>
      </w:r>
    </w:p>
    <w:p w14:paraId="0E6B7930">
      <w:pPr>
        <w:pStyle w:val="33"/>
        <w:numPr>
          <w:ilvl w:val="0"/>
          <w:numId w:val="5"/>
        </w:numPr>
        <w:spacing w:after="0"/>
        <w:ind w:left="720"/>
      </w:pPr>
      <w:r>
        <w:t>Variabel yang diprediksi adalah curah hujan dasarian</w:t>
      </w:r>
      <w:r>
        <w:rPr>
          <w:lang w:val="en-US"/>
        </w:rPr>
        <w:t>.</w:t>
      </w:r>
    </w:p>
    <w:p w14:paraId="4C14EA8C">
      <w:pPr>
        <w:pStyle w:val="33"/>
        <w:numPr>
          <w:ilvl w:val="0"/>
          <w:numId w:val="5"/>
        </w:numPr>
        <w:spacing w:after="0"/>
        <w:ind w:left="720"/>
      </w:pPr>
      <w:r>
        <w:t>Data yang digunakan berasal dari curah hujan observasi pos hujan BMKG</w:t>
      </w:r>
      <w:r>
        <w:rPr>
          <w:lang w:val="en-US"/>
        </w:rPr>
        <w:t xml:space="preserve">, </w:t>
      </w:r>
      <w:r>
        <w:t xml:space="preserve">data reanalisis ERA5/ERA5-Land yang diambil dari </w:t>
      </w:r>
      <w:r>
        <w:rPr>
          <w:lang w:val="en-US"/>
        </w:rPr>
        <w:t>CDS</w:t>
      </w:r>
      <w:r>
        <w:t xml:space="preserve"> Copernicus</w:t>
      </w:r>
      <w:r>
        <w:rPr>
          <w:lang w:val="en-US"/>
        </w:rPr>
        <w:t xml:space="preserve">, serta data MJO dari NOAA, ENSO dan QBO dari  BoM </w:t>
      </w:r>
      <w:r>
        <w:t xml:space="preserve">Rentang data yang digunakan mencakup periode tahun </w:t>
      </w:r>
      <w:r>
        <w:rPr>
          <w:lang w:val="en-US"/>
        </w:rPr>
        <w:t>1990</w:t>
      </w:r>
      <w:r>
        <w:t xml:space="preserve"> hingga</w:t>
      </w:r>
      <w:r>
        <w:rPr>
          <w:lang w:val="en-US"/>
        </w:rPr>
        <w:t xml:space="preserve"> 2025. </w:t>
      </w:r>
    </w:p>
    <w:p w14:paraId="5976DAF8">
      <w:pPr>
        <w:pStyle w:val="33"/>
        <w:numPr>
          <w:ilvl w:val="0"/>
          <w:numId w:val="5"/>
        </w:numPr>
        <w:spacing w:after="0"/>
        <w:ind w:left="720"/>
      </w:pPr>
      <w:r>
        <w:t xml:space="preserve">Arsitektur model utama yang dikembangkan dalam penelitian ini dibatasi pada </w:t>
      </w:r>
      <w:r>
        <w:rPr>
          <w:i/>
        </w:rPr>
        <w:t>Transformer Encoder-Only</w:t>
      </w:r>
      <w:r>
        <w:t xml:space="preserve"> sebagai model usulan. Model </w:t>
      </w:r>
      <w:r>
        <w:rPr>
          <w:i/>
        </w:rPr>
        <w:t>baseline</w:t>
      </w:r>
      <w:r>
        <w:t xml:space="preserve"> berupa </w:t>
      </w:r>
      <w:r>
        <w:rPr>
          <w:i/>
          <w:lang w:val="en-US"/>
        </w:rPr>
        <w:t xml:space="preserve">Transformer Full </w:t>
      </w:r>
      <w:r>
        <w:rPr>
          <w:lang w:val="en-US"/>
        </w:rPr>
        <w:t>(</w:t>
      </w:r>
      <w:r>
        <w:rPr>
          <w:i/>
          <w:lang w:val="en-US"/>
        </w:rPr>
        <w:t>Encoder + Decoder</w:t>
      </w:r>
      <w:r>
        <w:rPr>
          <w:lang w:val="en-US"/>
        </w:rPr>
        <w:t xml:space="preserve">), </w:t>
      </w:r>
      <w:r>
        <w:t>GRU, LSTM</w:t>
      </w:r>
      <w:r>
        <w:rPr>
          <w:lang w:val="en-US"/>
        </w:rPr>
        <w:t xml:space="preserve"> dan</w:t>
      </w:r>
      <w:r>
        <w:t xml:space="preserve"> BiLSTM</w:t>
      </w:r>
      <w:r>
        <w:rPr>
          <w:lang w:val="en-US"/>
        </w:rPr>
        <w:t xml:space="preserve"> </w:t>
      </w:r>
      <w:r>
        <w:t xml:space="preserve">digunakan sebagai pembanding untuk evaluasi performa. Seluruh model </w:t>
      </w:r>
      <w:r>
        <w:rPr>
          <w:i/>
        </w:rPr>
        <w:t>baseline</w:t>
      </w:r>
      <w:r>
        <w:t xml:space="preserve"> tersebut dioptimasi menggunakan metode </w:t>
      </w:r>
      <w:r>
        <w:rPr>
          <w:lang w:val="en-US"/>
        </w:rPr>
        <w:t xml:space="preserve">HPO yang sama dengan model usulan, </w:t>
      </w:r>
      <w:r>
        <w:t>dengan budget komputasi, skema data, dan metrik evaluasi yang setara, guna memastikan keadilan</w:t>
      </w:r>
      <w:r>
        <w:rPr>
          <w:lang w:val="en-US"/>
        </w:rPr>
        <w:t>.</w:t>
      </w:r>
    </w:p>
    <w:p w14:paraId="3FBB3B54">
      <w:pPr>
        <w:pStyle w:val="33"/>
        <w:numPr>
          <w:ilvl w:val="0"/>
          <w:numId w:val="5"/>
        </w:numPr>
        <w:spacing w:after="0"/>
        <w:ind w:left="720"/>
      </w:pPr>
      <w:r>
        <w:rPr>
          <w:lang w:val="en-US"/>
        </w:rPr>
        <w:t>HPO</w:t>
      </w:r>
      <w:r>
        <w:t xml:space="preserve"> pada model </w:t>
      </w:r>
      <w:r>
        <w:rPr>
          <w:i/>
        </w:rPr>
        <w:t>Transforme</w:t>
      </w:r>
      <w:r>
        <w:rPr>
          <w:i/>
          <w:lang w:val="en-US"/>
        </w:rPr>
        <w:t xml:space="preserve">r </w:t>
      </w:r>
      <w:r>
        <w:rPr>
          <w:i/>
        </w:rPr>
        <w:t>Encoder-Only</w:t>
      </w:r>
      <w:r>
        <w:t xml:space="preserve"> </w:t>
      </w:r>
      <w:r>
        <w:rPr>
          <w:lang w:val="en-US"/>
        </w:rPr>
        <w:t xml:space="preserve">dan model </w:t>
      </w:r>
      <w:r>
        <w:rPr>
          <w:i/>
          <w:lang w:val="en-US"/>
        </w:rPr>
        <w:t xml:space="preserve">baseline </w:t>
      </w:r>
      <w:r>
        <w:t>dilakukan menggunakan algoritma IFPOA-X</w:t>
      </w:r>
      <w:r>
        <w:rPr>
          <w:lang w:val="en-US"/>
        </w:rPr>
        <w:t xml:space="preserve">. </w:t>
      </w:r>
      <w:r>
        <w:t>Sebagai pembanding</w:t>
      </w:r>
      <w:r>
        <w:rPr>
          <w:lang w:val="en-US"/>
        </w:rPr>
        <w:t>,</w:t>
      </w:r>
      <w:r>
        <w:t xml:space="preserve"> digunakan metode </w:t>
      </w:r>
      <w:r>
        <w:rPr>
          <w:i/>
        </w:rPr>
        <w:t xml:space="preserve">Particle Swarm Optimization </w:t>
      </w:r>
      <w:r>
        <w:rPr>
          <w:lang w:val="en-US"/>
        </w:rPr>
        <w:t>(P</w:t>
      </w:r>
      <w:r>
        <w:t>SO</w:t>
      </w:r>
      <w:r>
        <w:rPr>
          <w:lang w:val="en-US"/>
        </w:rPr>
        <w:t>)</w:t>
      </w:r>
      <w:r>
        <w:t>,</w:t>
      </w:r>
      <w:r>
        <w:rPr>
          <w:lang w:val="en-US"/>
        </w:rPr>
        <w:t xml:space="preserve"> </w:t>
      </w:r>
      <w:r>
        <w:rPr>
          <w:i/>
        </w:rPr>
        <w:t>Flower Pollination Algorithm</w:t>
      </w:r>
      <w:r>
        <w:t xml:space="preserve"> </w:t>
      </w:r>
      <w:r>
        <w:rPr>
          <w:lang w:val="en-US"/>
        </w:rPr>
        <w:t>(</w:t>
      </w:r>
      <w:r>
        <w:t>FPA</w:t>
      </w:r>
      <w:r>
        <w:rPr>
          <w:lang w:val="en-US"/>
        </w:rPr>
        <w:t>)</w:t>
      </w:r>
      <w:r>
        <w:t>, dan</w:t>
      </w:r>
      <w:r>
        <w:rPr>
          <w:lang w:val="en-US"/>
        </w:rPr>
        <w:t xml:space="preserve"> </w:t>
      </w:r>
      <w:r>
        <w:rPr>
          <w:i/>
        </w:rPr>
        <w:t>Bayesian Optimization</w:t>
      </w:r>
      <w:r>
        <w:t xml:space="preserve"> </w:t>
      </w:r>
      <w:r>
        <w:rPr>
          <w:lang w:val="en-US"/>
        </w:rPr>
        <w:t>(</w:t>
      </w:r>
      <w:r>
        <w:t>BO</w:t>
      </w:r>
      <w:r>
        <w:rPr>
          <w:lang w:val="en-US"/>
        </w:rPr>
        <w:t>)</w:t>
      </w:r>
      <w:r>
        <w:t xml:space="preserve"> dengan budget evaluasi yang sama.</w:t>
      </w:r>
    </w:p>
    <w:p w14:paraId="0CDFDA30">
      <w:pPr>
        <w:pStyle w:val="33"/>
        <w:numPr>
          <w:ilvl w:val="0"/>
          <w:numId w:val="5"/>
        </w:numPr>
        <w:spacing w:after="0"/>
        <w:ind w:left="720"/>
      </w:pPr>
      <w:r>
        <w:t xml:space="preserve">Objektif optimasi dibatasi pada tiga komponen utama, yakni akurasi prediksi </w:t>
      </w:r>
      <w:r>
        <w:rPr>
          <w:lang w:val="en-US"/>
        </w:rPr>
        <w:t xml:space="preserve">dan statistic </w:t>
      </w:r>
      <w:r>
        <w:t>(RMSE,</w:t>
      </w:r>
      <w:r>
        <w:rPr>
          <w:lang w:val="en-US"/>
        </w:rPr>
        <w:t xml:space="preserve"> MAE </w:t>
      </w:r>
      <w:r>
        <w:t>dan R</w:t>
      </w:r>
      <w:r>
        <w:rPr>
          <w:vertAlign w:val="superscript"/>
        </w:rPr>
        <w:t>2</w:t>
      </w:r>
      <w:r>
        <w:rPr>
          <w:lang w:val="en-US"/>
        </w:rPr>
        <w:t xml:space="preserve">, </w:t>
      </w:r>
      <w:r>
        <w:rPr>
          <w:i/>
          <w:lang w:val="en-US"/>
        </w:rPr>
        <w:t>Friedman</w:t>
      </w:r>
      <w:r>
        <w:rPr>
          <w:lang w:val="en-US"/>
        </w:rPr>
        <w:t>)</w:t>
      </w:r>
      <w:r>
        <w:t xml:space="preserve">, </w:t>
      </w:r>
      <w:r>
        <w:rPr>
          <w:i/>
        </w:rPr>
        <w:t>robustness</w:t>
      </w:r>
      <w:r>
        <w:t xml:space="preserve"> lintas wilayah </w:t>
      </w:r>
      <w:r>
        <w:rPr>
          <w:lang w:val="en-US"/>
        </w:rPr>
        <w:t>dan pola hujan</w:t>
      </w:r>
      <w:r>
        <w:t xml:space="preserve"> (CVaR95</w:t>
      </w:r>
      <w:r>
        <w:rPr>
          <w:lang w:val="en-US"/>
        </w:rPr>
        <w:t>)</w:t>
      </w:r>
      <w:r>
        <w:t xml:space="preserve">, serta efisiensi komputasi </w:t>
      </w:r>
      <w:r>
        <w:rPr>
          <w:lang w:val="en-US"/>
        </w:rPr>
        <w:t>(</w:t>
      </w:r>
      <w:r>
        <w:t>menggunakan FLOPs</w:t>
      </w:r>
      <w:r>
        <w:rPr>
          <w:lang w:val="en-US"/>
        </w:rPr>
        <w:t>)</w:t>
      </w:r>
      <w:r>
        <w:t>.</w:t>
      </w:r>
    </w:p>
    <w:p w14:paraId="02C220A8">
      <w:pPr>
        <w:pStyle w:val="33"/>
        <w:numPr>
          <w:ilvl w:val="0"/>
          <w:numId w:val="5"/>
        </w:numPr>
        <w:spacing w:after="0"/>
        <w:ind w:left="720"/>
      </w:pPr>
      <w:r>
        <w:t>Cakupan wilayah evaluasi dibatasi pada:</w:t>
      </w:r>
    </w:p>
    <w:p w14:paraId="6C6B8FDD">
      <w:pPr>
        <w:pStyle w:val="33"/>
        <w:numPr>
          <w:ilvl w:val="0"/>
          <w:numId w:val="6"/>
        </w:numPr>
        <w:spacing w:after="0"/>
        <w:ind w:left="1440"/>
      </w:pPr>
      <w:r>
        <w:rPr>
          <w:lang w:val="en-US"/>
        </w:rPr>
        <w:t>Wilayah sumber</w:t>
      </w:r>
      <w:r>
        <w:t xml:space="preserve">: </w:t>
      </w:r>
      <w:r>
        <w:rPr>
          <w:lang w:val="en-US"/>
        </w:rPr>
        <w:t>10</w:t>
      </w:r>
      <w:r>
        <w:t xml:space="preserve"> lokasi di Jawa Barat</w:t>
      </w:r>
      <w:r>
        <w:rPr>
          <w:lang w:val="en-US"/>
        </w:rPr>
        <w:t xml:space="preserve"> </w:t>
      </w:r>
      <w:r>
        <w:t xml:space="preserve">untuk </w:t>
      </w:r>
      <w:r>
        <w:rPr>
          <w:i/>
        </w:rPr>
        <w:t>multi-site</w:t>
      </w:r>
      <w:r>
        <w:t xml:space="preserve"> training</w:t>
      </w:r>
      <w:r>
        <w:rPr>
          <w:lang w:val="en-US"/>
        </w:rPr>
        <w:t>.</w:t>
      </w:r>
    </w:p>
    <w:p w14:paraId="757B1263">
      <w:pPr>
        <w:pStyle w:val="33"/>
        <w:numPr>
          <w:ilvl w:val="0"/>
          <w:numId w:val="6"/>
        </w:numPr>
        <w:spacing w:after="0"/>
        <w:ind w:left="1440"/>
      </w:pPr>
      <w:r>
        <w:rPr>
          <w:lang w:val="en-US"/>
        </w:rPr>
        <w:t>Wilayah target:</w:t>
      </w:r>
      <w:r>
        <w:t xml:space="preserve"> </w:t>
      </w:r>
      <w:r>
        <w:rPr>
          <w:lang w:val="en-US"/>
        </w:rPr>
        <w:t>3</w:t>
      </w:r>
      <w:r>
        <w:t xml:space="preserve"> lokasi target (Kupang</w:t>
      </w:r>
      <w:r>
        <w:rPr>
          <w:lang w:val="en-US"/>
        </w:rPr>
        <w:t>, Padang dan Ambon</w:t>
      </w:r>
      <w:r>
        <w:t xml:space="preserve">) yang merepresentasikan </w:t>
      </w:r>
      <w:r>
        <w:rPr>
          <w:lang w:val="en-US"/>
        </w:rPr>
        <w:t>pola hujan</w:t>
      </w:r>
      <w:r>
        <w:t xml:space="preserve"> </w:t>
      </w:r>
      <w:r>
        <w:rPr>
          <w:lang w:val="en-US"/>
        </w:rPr>
        <w:t>berbeda-beda.</w:t>
      </w:r>
    </w:p>
    <w:p w14:paraId="0D7D4F89">
      <w:pPr>
        <w:pStyle w:val="33"/>
        <w:numPr>
          <w:ilvl w:val="0"/>
          <w:numId w:val="5"/>
        </w:numPr>
        <w:ind w:left="720"/>
      </w:pPr>
      <w:r>
        <w:rPr>
          <w:lang w:val="en-US"/>
        </w:rPr>
        <w:t xml:space="preserve">Protokol Transfer: Penerapan metode </w:t>
      </w:r>
      <w:r>
        <w:rPr>
          <w:i/>
          <w:lang w:val="en-US"/>
        </w:rPr>
        <w:t xml:space="preserve">zero-shot, fine-tuning </w:t>
      </w:r>
      <w:r>
        <w:rPr>
          <w:lang w:val="en-US"/>
        </w:rPr>
        <w:t xml:space="preserve">pada </w:t>
      </w:r>
      <w:r>
        <w:rPr>
          <w:i/>
          <w:lang w:val="en-US"/>
        </w:rPr>
        <w:t>head</w:t>
      </w:r>
      <w:r>
        <w:rPr>
          <w:lang w:val="en-US"/>
        </w:rPr>
        <w:t xml:space="preserve">, dan </w:t>
      </w:r>
      <w:r>
        <w:rPr>
          <w:i/>
          <w:lang w:val="en-US"/>
        </w:rPr>
        <w:t>staged unfreeze</w:t>
      </w:r>
      <w:r>
        <w:rPr>
          <w:lang w:val="en-US"/>
        </w:rPr>
        <w:t xml:space="preserve"> dari wilayah sumber ke wilayah target. Wilayah lain di luar daftar tersebut tidak dianalisis secara mendalam.</w:t>
      </w:r>
    </w:p>
    <w:p w14:paraId="1B610015">
      <w:pPr>
        <w:pStyle w:val="3"/>
      </w:pPr>
      <w:bookmarkStart w:id="18" w:name="_Toc236076720"/>
      <w:r>
        <w:t>1.4 Tujuan Penelitian</w:t>
      </w:r>
      <w:bookmarkEnd w:id="18"/>
    </w:p>
    <w:p w14:paraId="734CD9C7">
      <w:pPr>
        <w:pStyle w:val="33"/>
        <w:numPr>
          <w:ilvl w:val="0"/>
          <w:numId w:val="7"/>
        </w:numPr>
        <w:spacing w:after="0"/>
      </w:pPr>
      <w:r>
        <w:rPr>
          <w:bCs/>
        </w:rPr>
        <w:t>Mengembangkan dan memvalidasi</w:t>
      </w:r>
      <w:r>
        <w:t xml:space="preserve"> efektivitas algoritma </w:t>
      </w:r>
      <w:r>
        <w:rPr>
          <w:bCs/>
        </w:rPr>
        <w:t>IFPOA</w:t>
      </w:r>
      <w:r>
        <w:rPr>
          <w:b/>
          <w:bCs/>
        </w:rPr>
        <w:t>-</w:t>
      </w:r>
      <w:r>
        <w:rPr>
          <w:bCs/>
        </w:rPr>
        <w:t>X</w:t>
      </w:r>
      <w:r>
        <w:t xml:space="preserve"> </w:t>
      </w:r>
      <w:r>
        <w:rPr>
          <w:lang w:val="en-US"/>
        </w:rPr>
        <w:t xml:space="preserve">disbanding algoritma optimasi lain </w:t>
      </w:r>
      <w:r>
        <w:t xml:space="preserve">dalam menangani kompleksitas ruang pencarian </w:t>
      </w:r>
      <w:r>
        <w:rPr>
          <w:i/>
          <w:iCs/>
        </w:rPr>
        <w:t>hyperparameter</w:t>
      </w:r>
      <w:r>
        <w:t xml:space="preserve"> </w:t>
      </w:r>
      <w:r>
        <w:rPr>
          <w:i/>
        </w:rPr>
        <w:t>Transformer</w:t>
      </w:r>
      <w:r>
        <w:t xml:space="preserve"> melalui </w:t>
      </w:r>
      <w:r>
        <w:rPr>
          <w:lang w:val="en-US"/>
        </w:rPr>
        <w:t xml:space="preserve">berbagai </w:t>
      </w:r>
      <w:r>
        <w:t>integrasi mekanisme</w:t>
      </w:r>
      <w:r>
        <w:rPr>
          <w:lang w:val="en-US"/>
        </w:rPr>
        <w:t>.</w:t>
      </w:r>
    </w:p>
    <w:p w14:paraId="664B9151">
      <w:pPr>
        <w:pStyle w:val="33"/>
        <w:numPr>
          <w:ilvl w:val="0"/>
          <w:numId w:val="7"/>
        </w:numPr>
        <w:spacing w:after="0"/>
      </w:pPr>
      <w:r>
        <w:rPr>
          <w:bCs/>
        </w:rPr>
        <w:t>Mengevaluasi kontribusi</w:t>
      </w:r>
      <w:r>
        <w:t xml:space="preserve"> strategi </w:t>
      </w:r>
      <w:r>
        <w:rPr>
          <w:i/>
          <w:iCs/>
        </w:rPr>
        <w:t>Transfer Learning</w:t>
      </w:r>
      <w:r>
        <w:t xml:space="preserve"> dalam </w:t>
      </w:r>
      <w:r>
        <w:rPr>
          <w:bCs/>
          <w:i/>
        </w:rPr>
        <w:t>ToMarx</w:t>
      </w:r>
      <w:r>
        <w:rPr>
          <w:bCs/>
          <w:lang w:val="en-US"/>
        </w:rPr>
        <w:t xml:space="preserve"> </w:t>
      </w:r>
      <w:r>
        <w:t>terhadap peningkatan efisiensi komputasi dan kemampuan adaptasi model saat diterapkan dari wilayah sumber ke wilayah target yang berbeda</w:t>
      </w:r>
      <w:r>
        <w:rPr>
          <w:lang w:val="en-US"/>
        </w:rPr>
        <w:t>.</w:t>
      </w:r>
    </w:p>
    <w:p w14:paraId="7C12AB29">
      <w:pPr>
        <w:pStyle w:val="33"/>
        <w:numPr>
          <w:ilvl w:val="0"/>
          <w:numId w:val="7"/>
        </w:numPr>
      </w:pPr>
      <w:r>
        <w:rPr>
          <w:bCs/>
        </w:rPr>
        <w:t>Menganalisis performa</w:t>
      </w:r>
      <w:r>
        <w:t xml:space="preserve"> prediksi curah hujan dasarian model </w:t>
      </w:r>
      <w:r>
        <w:rPr>
          <w:bCs/>
          <w:i/>
        </w:rPr>
        <w:t>ToMarx</w:t>
      </w:r>
      <w:r>
        <w:t xml:space="preserve"> pada </w:t>
      </w:r>
      <w:r>
        <w:rPr>
          <w:lang w:val="en-US"/>
        </w:rPr>
        <w:t>3</w:t>
      </w:r>
      <w:r>
        <w:t xml:space="preserve"> </w:t>
      </w:r>
      <w:r>
        <w:rPr>
          <w:lang w:val="en-US"/>
        </w:rPr>
        <w:t>pola hujan</w:t>
      </w:r>
      <w:r>
        <w:t xml:space="preserve"> kontras (</w:t>
      </w:r>
      <w:r>
        <w:rPr>
          <w:lang w:val="en-US"/>
        </w:rPr>
        <w:t>monsunal, ekuatorial dan lokal</w:t>
      </w:r>
      <w:r>
        <w:t xml:space="preserve">) dibandingkan dengan model konvensional ditinjau dari aspek akurasi, </w:t>
      </w:r>
      <w:r>
        <w:rPr>
          <w:i/>
          <w:iCs/>
        </w:rPr>
        <w:t>robustness</w:t>
      </w:r>
      <w:r>
        <w:t>, dan efisiensi.</w:t>
      </w:r>
    </w:p>
    <w:p w14:paraId="733D42D2">
      <w:pPr>
        <w:pStyle w:val="3"/>
      </w:pPr>
      <w:bookmarkStart w:id="19" w:name="_Toc236076721"/>
      <w:r>
        <w:t>1.5 Manfaat Penelitian</w:t>
      </w:r>
      <w:bookmarkEnd w:id="19"/>
    </w:p>
    <w:p w14:paraId="1039671B">
      <w:pPr>
        <w:spacing w:after="0"/>
        <w:rPr>
          <w:rFonts w:cs="Times New Roman"/>
          <w:b/>
          <w:sz w:val="27"/>
        </w:rPr>
      </w:pPr>
      <w:r>
        <w:rPr>
          <w:b/>
          <w:shd w:val="clear" w:color="auto" w:fill="FFFFFF"/>
        </w:rPr>
        <w:t>Manfaat Teoretis</w:t>
      </w:r>
    </w:p>
    <w:p w14:paraId="0535312F">
      <w:pPr>
        <w:pStyle w:val="33"/>
        <w:numPr>
          <w:ilvl w:val="0"/>
          <w:numId w:val="8"/>
        </w:numPr>
        <w:spacing w:after="0"/>
      </w:pPr>
      <w:r>
        <w:rPr>
          <w:shd w:val="clear" w:color="auto" w:fill="FFFFFF"/>
          <w:lang w:val="en-US"/>
        </w:rPr>
        <w:t xml:space="preserve">Memberikan temuan empiris dalam ranah </w:t>
      </w:r>
      <w:r>
        <w:rPr>
          <w:i/>
          <w:shd w:val="clear" w:color="auto" w:fill="FFFFFF"/>
          <w:lang w:val="en-US"/>
        </w:rPr>
        <w:t>computational intelligence</w:t>
      </w:r>
      <w:r>
        <w:rPr>
          <w:shd w:val="clear" w:color="auto" w:fill="FFFFFF"/>
          <w:lang w:val="en-US"/>
        </w:rPr>
        <w:t xml:space="preserve"> bahwa penambahan mekanisme hibrida tidak secara otomatis meningkatkan performa algoritma metaheuristik. Studi ablasi IFPOA-X mengidentifikasi OBL sebagai mekanisme yang paling konsisten memberikan perbaikan, sementara kontribusi UCB1 bersifat terbatas dan JADE-</w:t>
      </w:r>
      <w:r>
        <w:rPr>
          <w:i/>
          <w:shd w:val="clear" w:color="auto" w:fill="FFFFFF"/>
          <w:lang w:val="en-US"/>
        </w:rPr>
        <w:t>style local search</w:t>
      </w:r>
      <w:r>
        <w:rPr>
          <w:shd w:val="clear" w:color="auto" w:fill="FFFFFF"/>
          <w:lang w:val="en-US"/>
        </w:rPr>
        <w:t xml:space="preserve"> dapat menjadi kontraproduktif pada anggaran evaluasi yang ketat.</w:t>
      </w:r>
    </w:p>
    <w:p w14:paraId="64AC784B">
      <w:pPr>
        <w:pStyle w:val="33"/>
        <w:numPr>
          <w:ilvl w:val="0"/>
          <w:numId w:val="8"/>
        </w:numPr>
        <w:spacing w:after="0"/>
      </w:pPr>
      <w:r>
        <w:t xml:space="preserve">Membuktikan efektivitas integrasi strategi </w:t>
      </w:r>
      <w:r>
        <w:rPr>
          <w:i/>
          <w:iCs/>
        </w:rPr>
        <w:t>Transfer Learning</w:t>
      </w:r>
      <w:r>
        <w:t xml:space="preserve"> pada arsitektur </w:t>
      </w:r>
      <w:r>
        <w:rPr>
          <w:i/>
          <w:iCs/>
        </w:rPr>
        <w:t>Transformer</w:t>
      </w:r>
      <w:r>
        <w:t xml:space="preserve"> sebagai pendekatan pemodelan iklim yang efisien. </w:t>
      </w:r>
    </w:p>
    <w:p w14:paraId="478FB322">
      <w:pPr>
        <w:pStyle w:val="33"/>
        <w:numPr>
          <w:ilvl w:val="0"/>
          <w:numId w:val="8"/>
        </w:numPr>
        <w:spacing w:after="0"/>
      </w:pPr>
      <w:r>
        <w:t xml:space="preserve">Mengisi celah </w:t>
      </w:r>
      <w:r>
        <w:rPr>
          <w:lang w:val="en-US"/>
        </w:rPr>
        <w:t>literatur</w:t>
      </w:r>
      <w:r>
        <w:t xml:space="preserve"> mengenai stabilitas (</w:t>
      </w:r>
      <w:r>
        <w:rPr>
          <w:i/>
          <w:iCs/>
        </w:rPr>
        <w:t>robustness</w:t>
      </w:r>
      <w:r>
        <w:t xml:space="preserve">) model prediksi curah hujan di wilayah tropis-maritim, khususnya dalam memetakan batas kemampuan generalisasi model AI ketika dihadapkan pada karakteristik </w:t>
      </w:r>
      <w:r>
        <w:rPr>
          <w:lang w:val="en-US"/>
        </w:rPr>
        <w:t>pola hujan</w:t>
      </w:r>
      <w:r>
        <w:t xml:space="preserve"> yang </w:t>
      </w:r>
      <w:r>
        <w:rPr>
          <w:lang w:val="en-US"/>
        </w:rPr>
        <w:t>berbeda.</w:t>
      </w:r>
    </w:p>
    <w:p w14:paraId="6ED7E9AE">
      <w:pPr>
        <w:spacing w:after="0"/>
        <w:rPr>
          <w:b/>
        </w:rPr>
      </w:pPr>
      <w:r>
        <w:rPr>
          <w:b/>
          <w:shd w:val="clear" w:color="auto" w:fill="FFFFFF"/>
        </w:rPr>
        <w:t>Manfaat Praktis</w:t>
      </w:r>
    </w:p>
    <w:p w14:paraId="6C2C993E">
      <w:pPr>
        <w:pStyle w:val="33"/>
        <w:numPr>
          <w:ilvl w:val="0"/>
          <w:numId w:val="9"/>
        </w:numPr>
        <w:spacing w:after="0"/>
        <w:rPr>
          <w:bCs/>
          <w:shd w:val="clear" w:color="auto" w:fill="FFFFFF"/>
        </w:rPr>
      </w:pPr>
      <w:r>
        <w:rPr>
          <w:bCs/>
          <w:shd w:val="clear" w:color="auto" w:fill="FFFFFF"/>
          <w:lang w:val="en-US"/>
        </w:rPr>
        <w:t>M</w:t>
      </w:r>
      <w:r>
        <w:t xml:space="preserve">enyediakan instrumen prediksi curah hujan dasarian </w:t>
      </w:r>
      <w:r>
        <w:rPr>
          <w:lang w:val="en-US"/>
        </w:rPr>
        <w:t xml:space="preserve">siap pakai </w:t>
      </w:r>
      <w:r>
        <w:t>yang presisi dan teruji stabilitasnya, sehingga dapat dimanfaatkan sebagai penunjang keputusan dalam sistem peringatan dini dan mitigasi risiko hidrometeorologi</w:t>
      </w:r>
      <w:r>
        <w:rPr>
          <w:lang w:val="en-US"/>
        </w:rPr>
        <w:t xml:space="preserve"> maupun penelitian lanjutan.</w:t>
      </w:r>
    </w:p>
    <w:p w14:paraId="05FFC20F">
      <w:pPr>
        <w:pStyle w:val="33"/>
        <w:numPr>
          <w:ilvl w:val="0"/>
          <w:numId w:val="9"/>
        </w:numPr>
        <w:spacing w:after="0"/>
        <w:rPr>
          <w:bCs/>
          <w:shd w:val="clear" w:color="auto" w:fill="FFFFFF"/>
        </w:rPr>
      </w:pPr>
      <w:r>
        <w:t xml:space="preserve">Menawarkan solusi praktis bagi instrumen pemodelan di daerah yang memiliki keterbatasan sumber daya komputasi. Dengan strategi </w:t>
      </w:r>
      <w:r>
        <w:rPr>
          <w:i/>
          <w:iCs/>
        </w:rPr>
        <w:t>Transfer Learning</w:t>
      </w:r>
      <w:r>
        <w:t>, model prediksi lokal dapat dibangun tanpa memerlukan pelatihan ulang yang memakan waktu dan biaya tinggi</w:t>
      </w:r>
      <w:r>
        <w:rPr>
          <w:lang w:val="en-US"/>
        </w:rPr>
        <w:t>.</w:t>
      </w:r>
    </w:p>
    <w:p w14:paraId="3FC46788">
      <w:pPr>
        <w:pStyle w:val="33"/>
        <w:numPr>
          <w:ilvl w:val="0"/>
          <w:numId w:val="9"/>
        </w:numPr>
      </w:pPr>
      <w:r>
        <w:t xml:space="preserve">Menjadi rujukan implementasi </w:t>
      </w:r>
      <w:r>
        <w:rPr>
          <w:i/>
          <w:iCs/>
          <w:lang w:val="en-US"/>
        </w:rPr>
        <w:t>d</w:t>
      </w:r>
      <w:r>
        <w:rPr>
          <w:i/>
          <w:iCs/>
        </w:rPr>
        <w:t xml:space="preserve">eep </w:t>
      </w:r>
      <w:r>
        <w:rPr>
          <w:i/>
          <w:iCs/>
          <w:lang w:val="en-US"/>
        </w:rPr>
        <w:t>l</w:t>
      </w:r>
      <w:r>
        <w:rPr>
          <w:i/>
          <w:iCs/>
        </w:rPr>
        <w:t>earning</w:t>
      </w:r>
      <w:r>
        <w:t xml:space="preserve"> di lingkungan STMKG dan BMKG, sekaligus mendorong transisi metode prakiraan dari pendekatan statistik konvensional menuju pendekatan yang lebih adaptif.</w:t>
      </w:r>
    </w:p>
    <w:p w14:paraId="6778F9E8">
      <w:pPr>
        <w:pStyle w:val="3"/>
      </w:pPr>
      <w:bookmarkStart w:id="20" w:name="_Toc236076722"/>
      <w:r>
        <w:br w:type="page"/>
      </w:r>
    </w:p>
    <w:p w14:paraId="6CC49B14">
      <w:pPr>
        <w:pStyle w:val="3"/>
      </w:pPr>
      <w:r>
        <w:t>1.6 Sistematika Penulisan</w:t>
      </w:r>
      <w:bookmarkEnd w:id="20"/>
    </w:p>
    <w:p w14:paraId="4D7E43D4">
      <w:pPr>
        <w:spacing w:after="0"/>
        <w:rPr>
          <w:b/>
        </w:rPr>
      </w:pPr>
      <w:r>
        <w:rPr>
          <w:b/>
        </w:rPr>
        <w:t>BAB I PENDAHULUAN</w:t>
      </w:r>
    </w:p>
    <w:p w14:paraId="7FFCF5B4">
      <w:pPr>
        <w:spacing w:after="0"/>
      </w:pPr>
      <w:r>
        <w:t>Bab ini membahas latar belakang penelitian, rumusan masalah, tujuan penelitian, batasan masalah, dan sistematika penulisan. Bab ini bertujuan memberikan gambaran umum mengenai penelitian yang dilakukan.</w:t>
      </w:r>
    </w:p>
    <w:p w14:paraId="6DCC710A">
      <w:pPr>
        <w:spacing w:after="0"/>
      </w:pPr>
    </w:p>
    <w:p w14:paraId="57198079">
      <w:pPr>
        <w:spacing w:after="0"/>
        <w:rPr>
          <w:b/>
        </w:rPr>
      </w:pPr>
      <w:r>
        <w:rPr>
          <w:b/>
        </w:rPr>
        <w:t>BAB II DASAR TEORI</w:t>
      </w:r>
    </w:p>
    <w:p w14:paraId="086274E8">
      <w:pPr>
        <w:spacing w:after="0"/>
      </w:pPr>
      <w:r>
        <w:t xml:space="preserve">Bab ini memuat landasan teori yang relevan dengan penelitian, meliputi konsep dasar curah hujan dasarian dan dinamika iklim yang memengaruhi variabilitas hujan di Indonesia, arsitektur dan prinsip kerja model </w:t>
      </w:r>
      <w:r>
        <w:rPr>
          <w:i/>
        </w:rPr>
        <w:t>Transformer</w:t>
      </w:r>
      <w:r>
        <w:t xml:space="preserve"> untuk peramalan </w:t>
      </w:r>
      <w:r>
        <w:rPr>
          <w:i/>
        </w:rPr>
        <w:t>time series</w:t>
      </w:r>
      <w:r>
        <w:t>, serta teori-teori optimasi seperti HPO, metaheuristik</w:t>
      </w:r>
      <w:r>
        <w:rPr>
          <w:lang w:val="en-US"/>
        </w:rPr>
        <w:t xml:space="preserve"> </w:t>
      </w:r>
      <w:r>
        <w:rPr>
          <w:i/>
          <w:lang w:val="en-US"/>
        </w:rPr>
        <w:t xml:space="preserve">transfer learning </w:t>
      </w:r>
      <w:r>
        <w:rPr>
          <w:lang w:val="en-US"/>
        </w:rPr>
        <w:t>dan metrik evaluasi</w:t>
      </w:r>
      <w:r>
        <w:t>. Selain itu, bab ini mencakup tinjauan pustaka dari penelitian-penelitian sebelumnya yang mendukung penyusunan model dan kerangka metodologis dalam studi ini.</w:t>
      </w:r>
    </w:p>
    <w:p w14:paraId="442B9EAE">
      <w:pPr>
        <w:spacing w:after="0"/>
      </w:pPr>
    </w:p>
    <w:p w14:paraId="58734E1B">
      <w:pPr>
        <w:spacing w:after="0"/>
        <w:rPr>
          <w:b/>
        </w:rPr>
      </w:pPr>
      <w:r>
        <w:rPr>
          <w:b/>
        </w:rPr>
        <w:t>BAB III PERANCANGAN SISTEM</w:t>
      </w:r>
    </w:p>
    <w:p w14:paraId="5A8833EE">
      <w:pPr>
        <w:spacing w:after="0"/>
      </w:pPr>
      <w:r>
        <w:t xml:space="preserve">Bab ini menjelaskan metodologi penelitian yang digunakan dalam pengembangan </w:t>
      </w:r>
      <w:r>
        <w:rPr>
          <w:i/>
          <w:lang w:val="en-US"/>
        </w:rPr>
        <w:t>ToMarx</w:t>
      </w:r>
      <w:r>
        <w:t xml:space="preserve"> untuk peramalan curah hujan dasarian. Sub-babnya meliputi deskripsi data dan tahapan </w:t>
      </w:r>
      <w:r>
        <w:rPr>
          <w:i/>
          <w:lang w:val="en-US"/>
        </w:rPr>
        <w:t>preprocessing</w:t>
      </w:r>
      <w:r>
        <w:t xml:space="preserve">, perancangan arsitektur model </w:t>
      </w:r>
      <w:r>
        <w:rPr>
          <w:i/>
        </w:rPr>
        <w:t>Transformer Encoder-Only</w:t>
      </w:r>
      <w:r>
        <w:t>, perumusan dan implementasi algoritma IFPOA-X</w:t>
      </w:r>
      <w:r>
        <w:rPr>
          <w:lang w:val="en-US"/>
        </w:rPr>
        <w:t xml:space="preserve">, </w:t>
      </w:r>
      <w:r>
        <w:t>serta skema eksperimen</w:t>
      </w:r>
      <w:r>
        <w:rPr>
          <w:lang w:val="en-US"/>
        </w:rPr>
        <w:t xml:space="preserve">, </w:t>
      </w:r>
      <w:r>
        <w:t>evaluasi</w:t>
      </w:r>
      <w:r>
        <w:rPr>
          <w:lang w:val="en-US"/>
        </w:rPr>
        <w:t xml:space="preserve"> serta visualisasi</w:t>
      </w:r>
      <w:r>
        <w:t xml:space="preserve"> model. Bab ini juga menguraikan alur kerja penelitian secara keseluruhan untuk memastikan setiap tahap dapat direplikasi dan berjalan sesuai rancangan.</w:t>
      </w:r>
    </w:p>
    <w:p w14:paraId="363D0E4C">
      <w:pPr>
        <w:spacing w:after="0"/>
      </w:pPr>
    </w:p>
    <w:p w14:paraId="5F5A5578">
      <w:pPr>
        <w:spacing w:after="0"/>
        <w:rPr>
          <w:b/>
          <w:lang w:val="en-US"/>
        </w:rPr>
      </w:pPr>
      <w:r>
        <w:rPr>
          <w:b/>
        </w:rPr>
        <w:t xml:space="preserve">BAB </w:t>
      </w:r>
      <w:r>
        <w:rPr>
          <w:b/>
          <w:lang w:val="en-US"/>
        </w:rPr>
        <w:t>IV</w:t>
      </w:r>
      <w:r>
        <w:rPr>
          <w:b/>
        </w:rPr>
        <w:t xml:space="preserve"> </w:t>
      </w:r>
      <w:r>
        <w:rPr>
          <w:b/>
          <w:lang w:val="en-US"/>
        </w:rPr>
        <w:t>HASIL DAN PEMBAHASAN</w:t>
      </w:r>
    </w:p>
    <w:p w14:paraId="278DD0F6">
      <w:pPr>
        <w:spacing w:after="0"/>
      </w:pPr>
      <w:r>
        <w:t>Bab ini me</w:t>
      </w:r>
      <w:r>
        <w:rPr>
          <w:lang w:val="en-US"/>
        </w:rPr>
        <w:t xml:space="preserve">maparkan hasil dari perancangan sistem, mulai dari </w:t>
      </w:r>
      <w:r>
        <w:rPr>
          <w:i/>
          <w:lang w:val="en-US"/>
        </w:rPr>
        <w:t xml:space="preserve">benchmarking </w:t>
      </w:r>
      <w:r>
        <w:rPr>
          <w:lang w:val="en-US"/>
        </w:rPr>
        <w:t xml:space="preserve">algoritma, HPO, </w:t>
      </w:r>
      <w:r>
        <w:rPr>
          <w:i/>
          <w:lang w:val="en-US"/>
        </w:rPr>
        <w:t xml:space="preserve">training </w:t>
      </w:r>
      <w:r>
        <w:rPr>
          <w:lang w:val="en-US"/>
        </w:rPr>
        <w:t xml:space="preserve">ulang, </w:t>
      </w:r>
      <w:r>
        <w:rPr>
          <w:i/>
          <w:lang w:val="en-US"/>
        </w:rPr>
        <w:t xml:space="preserve">transfer learning, </w:t>
      </w:r>
      <w:r>
        <w:rPr>
          <w:lang w:val="en-US"/>
        </w:rPr>
        <w:t>evaluasi dan pembahasan</w:t>
      </w:r>
      <w:r>
        <w:t>.</w:t>
      </w:r>
    </w:p>
    <w:p w14:paraId="06962438">
      <w:pPr>
        <w:spacing w:after="0"/>
      </w:pPr>
    </w:p>
    <w:p w14:paraId="48F82A52">
      <w:pPr>
        <w:spacing w:after="0"/>
        <w:rPr>
          <w:b/>
          <w:lang w:val="en-US"/>
        </w:rPr>
      </w:pPr>
      <w:r>
        <w:rPr>
          <w:b/>
          <w:lang w:val="en-US"/>
        </w:rPr>
        <w:t>BAB V PENUTUP</w:t>
      </w:r>
    </w:p>
    <w:p w14:paraId="737C6B8B">
      <w:pPr>
        <w:spacing w:after="0"/>
        <w:rPr>
          <w:lang w:val="en-US"/>
        </w:rPr>
      </w:pPr>
      <w:r>
        <w:rPr>
          <w:lang w:val="en-US"/>
        </w:rPr>
        <w:t>Bab ini menampilkan kesimpulan keseluruhan penelitian yang menjawab rumusan masalah serta saran untuk perbaikan kedepannya.</w:t>
      </w:r>
    </w:p>
    <w:p w14:paraId="0C4FEE2F">
      <w:pPr>
        <w:spacing w:after="0"/>
        <w:rPr>
          <w:shd w:val="clear" w:color="auto" w:fill="FFFFFF"/>
        </w:rPr>
        <w:sectPr>
          <w:headerReference r:id="rId9" w:type="first"/>
          <w:footerReference r:id="rId11" w:type="first"/>
          <w:headerReference r:id="rId8" w:type="default"/>
          <w:footerReference r:id="rId10" w:type="default"/>
          <w:pgSz w:w="11906" w:h="16838"/>
          <w:pgMar w:top="1701" w:right="1701" w:bottom="1701" w:left="2268" w:header="708" w:footer="708" w:gutter="0"/>
          <w:pgNumType w:start="1"/>
          <w:cols w:space="708" w:num="1"/>
          <w:titlePg/>
          <w:docGrid w:linePitch="360" w:charSpace="0"/>
        </w:sectPr>
      </w:pPr>
    </w:p>
    <w:p w14:paraId="71713CDD">
      <w:pPr>
        <w:pStyle w:val="2"/>
        <w:rPr>
          <w:color w:val="000000"/>
          <w:shd w:val="clear" w:color="auto" w:fill="FFFFFF"/>
        </w:rPr>
      </w:pPr>
      <w:bookmarkStart w:id="21" w:name="_Toc236076723"/>
      <w:r>
        <w:rPr>
          <w:shd w:val="clear" w:color="auto" w:fill="FFFFFF"/>
        </w:rPr>
        <w:t xml:space="preserve">BAB II </w:t>
      </w:r>
      <w:r>
        <w:rPr>
          <w:shd w:val="clear" w:color="auto" w:fill="FFFFFF"/>
        </w:rPr>
        <w:br w:type="textWrapping"/>
      </w:r>
      <w:r>
        <w:rPr>
          <w:shd w:val="clear" w:color="auto" w:fill="FFFFFF"/>
        </w:rPr>
        <w:t>DASAR TEORI</w:t>
      </w:r>
      <w:bookmarkEnd w:id="21"/>
    </w:p>
    <w:p w14:paraId="2038E88B">
      <w:pPr>
        <w:pStyle w:val="3"/>
      </w:pPr>
      <w:bookmarkStart w:id="22" w:name="_Toc236076724"/>
      <w:r>
        <w:t>2.1 Tinjauan Pustaka</w:t>
      </w:r>
      <w:bookmarkEnd w:id="22"/>
    </w:p>
    <w:p w14:paraId="423DD285">
      <w:pPr>
        <w:spacing w:after="0"/>
        <w:ind w:firstLine="567"/>
        <w:rPr>
          <w:lang w:val="en-US"/>
        </w:rPr>
      </w:pPr>
      <w:r>
        <w:rPr>
          <w:lang w:val="en-US"/>
        </w:rPr>
        <w:t xml:space="preserve">Penelitian ini merujuk beberapa referensi terdahulu sebagai sumber utama dalam pengembangan model peramalan curah hujan </w:t>
      </w:r>
      <w:r>
        <w:rPr>
          <w:i/>
          <w:lang w:val="en-US"/>
        </w:rPr>
        <w:t>ToMarx</w:t>
      </w:r>
      <w:r>
        <w:rPr>
          <w:lang w:val="en-US"/>
        </w:rPr>
        <w:t>:</w:t>
      </w:r>
    </w:p>
    <w:p w14:paraId="58C210BB">
      <w:pPr>
        <w:pStyle w:val="33"/>
        <w:numPr>
          <w:ilvl w:val="1"/>
          <w:numId w:val="10"/>
        </w:numPr>
        <w:spacing w:after="0"/>
        <w:ind w:left="851" w:hanging="425"/>
        <w:rPr>
          <w:rFonts w:cs="Times New Roman"/>
        </w:rPr>
      </w:pPr>
      <w:r>
        <w:t xml:space="preserve">Penelitian yang dilakukan oleh </w:t>
      </w:r>
      <w:r>
        <w:rPr>
          <w:bCs/>
        </w:rPr>
        <w:t>Giarno dkk. (2023)</w:t>
      </w:r>
      <w:r>
        <w:rPr>
          <w:lang w:val="en-US"/>
        </w:rPr>
        <w:t>, berjudul “</w:t>
      </w:r>
      <w:r>
        <w:rPr>
          <w:i/>
          <w:iCs/>
        </w:rPr>
        <w:t>Changing of return periods of extreme rainfall using satellite observation in Java Island</w:t>
      </w:r>
      <w:r>
        <w:rPr>
          <w:i/>
          <w:iCs/>
          <w:lang w:val="en-US"/>
        </w:rPr>
        <w:t>”</w:t>
      </w:r>
      <w:r>
        <w:t xml:space="preserve"> menekankan pengaruh signifikan sirkulasi global (ENSO/MJO) terhadap variabilitas curah hujan di </w:t>
      </w:r>
      <w:r>
        <w:rPr>
          <w:i/>
          <w:iCs/>
        </w:rPr>
        <w:t>Maritime Continent</w:t>
      </w:r>
      <w:r>
        <w:t xml:space="preserve">. Temuan ini menjustifikasi integrasi indeks global dengan data lokal sebagai fitur masukan model untuk menangkap dinamika atmosfer yang kompleks </w:t>
      </w:r>
      <w:r>
        <w:fldChar w:fldCharType="begin" w:fldLock="1"/>
      </w:r>
      <w:r>
        <w:instrText xml:space="preserve">ADDIN CSL_CITATION {"citationItems":[{"id":"ITEM-1","itemData":{"DOI":"10.1051/e3sconf/202346411005","abstract":"As a flood-prone area and a centre of activity in Indonesia, the high intensity of rainfall needs to be watched out for. Excessive rainfall can lead to disastrous outcomes like floods and landslides. Analyzing the frequency of extreme rainfall events, calculated by a statistical approach involving employing probability distribution models and generalized extreme value distributions. Return levels are defined as the maximum value that will be exceeded once in a given time period. This study aims to map changes in maximum rainfall that have occurred repeatedly on the island of Java in the last 40 years. Changes in the rainfall return period are detected using CHIRPS rainfall estimates, by calculating every 20 years. The calculation results show high rainfall intensity in the south of Java Island for all return periods and there is an increase in rainfall in the north of Jakarta. The southern region of West Java and Central Java has also experienced a relatively high increase in rainfall intensity, especially over a 20-year period. Meanwhile in East Java Province, increased rainfall occurred in the easternmost part of the province.","author":[{"dropping-particle":"","family":"Giarno","given":"None","non-dropping-particle":"","parse-names":false,"suffix":""},{"dropping-particle":"","family":"Ruslana","given":"Zauzik Nana","non-dropping-particle":"","parse-names":false,"suffix":""},{"dropping-particle":"","family":"Rachmawardhani","given":"Agustina","non-dropping-particle":"","parse-names":false,"suffix":""},{"dropping-particle":"","family":"Rais","given":"Achmad Fahruddin","non-dropping-particle":"","parse-names":false,"suffix":""},{"dropping-particle":"","family":"Didiharyono","given":"None","non-dropping-particle":"","parse-names":false,"suffix":""},{"dropping-particle":"","family":"Sunusi","given":"Nurtiti","non-dropping-particle":"","parse-names":false,"suffix":""},{"dropping-particle":"","family":"Syafie","given":"Lukman","non-dropping-particle":"","parse-names":false,"suffix":""}],"container-title":"E3S Web of Conferences","id":"ITEM-1","issued":{"date-parts":[["2023"]]},"page":"11005","title":"Changing of Return Periods of Extreme Rainfall Using Satellite Observation in Java Island","type":"article-journal","volume":"464"},"uris":["http://www.mendeley.com/documents/?uuid=7324eec4-be6d-4788-83b1-84b19c1197d6"]}],"mendeley":{"formattedCitation":"(Giarno dkk., 2023)","manualFormatting":"(Giarno dkk., 2023)","plainTextFormattedCitation":"(Giarno dkk., 2023)","previouslyFormattedCitation":"(Giarno &lt;i&gt;et al.&lt;/i&gt;, 2023)"},"properties":{"noteIndex":0},"schema":"https://github.com/citation-style-language/schema/raw/master/csl-citation.json"}</w:instrText>
      </w:r>
      <w:r>
        <w:fldChar w:fldCharType="separate"/>
      </w:r>
      <w:r>
        <w:t>(Giarno dkk., 2023)</w:t>
      </w:r>
      <w:r>
        <w:fldChar w:fldCharType="end"/>
      </w:r>
      <w:r>
        <w:rPr>
          <w:lang w:val="en-US"/>
        </w:rPr>
        <w:t>.</w:t>
      </w:r>
    </w:p>
    <w:p w14:paraId="2808BCA9">
      <w:pPr>
        <w:pStyle w:val="33"/>
        <w:numPr>
          <w:ilvl w:val="1"/>
          <w:numId w:val="10"/>
        </w:numPr>
        <w:ind w:left="851" w:hanging="425"/>
      </w:pPr>
      <w:r>
        <w:t xml:space="preserve">Penelitian yang dilakukan oleh </w:t>
      </w:r>
      <w:r>
        <w:rPr>
          <w:bCs/>
        </w:rPr>
        <w:t>Liu dkk. (2023)</w:t>
      </w:r>
      <w:r>
        <w:t xml:space="preserve"> melalui karya berjudul </w:t>
      </w:r>
      <w:r>
        <w:rPr>
          <w:lang w:val="en-US"/>
        </w:rPr>
        <w:t>“</w:t>
      </w:r>
      <w:r>
        <w:rPr>
          <w:i/>
          <w:iCs/>
        </w:rPr>
        <w:t>RLNformer: A Rainfall Levels Nowcasting Model Based on Conv1D_Transformer</w:t>
      </w:r>
      <w:r>
        <w:rPr>
          <w:i/>
          <w:iCs/>
          <w:lang w:val="en-US"/>
        </w:rPr>
        <w:t>”</w:t>
      </w:r>
      <w:r>
        <w:t xml:space="preserve"> membuktikan mekanisme </w:t>
      </w:r>
      <w:r>
        <w:rPr>
          <w:i/>
          <w:iCs/>
        </w:rPr>
        <w:t>self-attention</w:t>
      </w:r>
      <w:r>
        <w:t xml:space="preserve"> pada Transformer lebih unggul dalam menangkap dependensi temporal dibanding RNN/LSTM, menjadikannya rujukan arsitektural utama dalam penelitian ini </w:t>
      </w:r>
      <w:r>
        <w:fldChar w:fldCharType="begin" w:fldLock="1"/>
      </w:r>
      <w:r>
        <w:instrText xml:space="preserve">ADDIN CSL_CITATION {"citationItems":[{"id":"ITEM-1","itemData":{"DOI":"10.3390/w15203650","abstract":"Accurate precipitation forecasting is of great significance to social life and economic activities. Due to the influence of various factors such as topography, climate, and altitude, the precipitation in semi-arid and arid areas shows the characteristics of large fluctuation, short duration, and low probability of occurrence. Therefore, it is highly challenging to accurately predict precipitation in the northern Xinjiang area of China, which is located in the semi-arid and arid climate region. In this study, six meteorological stations in the northern Xinjiang area were selected as the research area. Due to the high volatility of rainfall in this area, the rainfall was divided into four levels, namely, “no rain”, “light rain”, “moderate rain”, and “heavy rain and above”, for rainfall level prediction. In order to improve the prediction performance, this study proposed a rainfall levels nowcasting model based on Conv1D_Transformer (RLNformer). Firstly, the maximum information coefficient (MIC) method was used for feature selection and sliding the data, that is, the data of the first 24 h were used to predict the rainfall levels in the next 3 h. Then, the Conv1D layer was used to replace the word-embedding layer of the transformer, enabling it to extract the relationships between features of time series data and allowing multi-head attention to better capture contextual information in the input sequence. Additionally, a normalization layer was placed before the multi-head attention layer to ensure that the input data had an appropriate scale and normalization, thereby reducing the sensitivity of the model to the distribution of input data and helping to improve model performance. To verify the effectiveness and generalization of the proposed model, the same experiments were conducted on the Indian public dataset, and seven models were selected as benchmark models. Compared with the benchmark models, RLNformer achieved the highest accuracy on both datasets, which were 96.41% and 88.95%, respectively. It also had higher accuracy in the prediction of each category, especially the minority category, which has certain reference significance and practical value.","author":[{"dropping-particle":"","family":"Liu","given":"Yulong","non-dropping-particle":"","parse-names":false,"suffix":""},{"dropping-particle":"","family":"Liu","given":"Shuxian","non-dropping-particle":"","parse-names":false,"suffix":""},{"dropping-particle":"","family":"Chen","given":"Juepu","non-dropping-particle":"","parse-names":false,"suffix":""}],"container-title":"Water","id":"ITEM-1","issue":"20","issued":{"date-parts":[["2023"]]},"page":"3650","title":"RLNformer: A Rainfall Levels Nowcasting Model Based on Conv1D_Transformer for the Northern Xinjiang Area of China","type":"article-journal","volume":"15"},"uris":["http://www.mendeley.com/documents/?uuid=2f1b9de8-0620-487a-86be-995bae07d6d8"]}],"mendeley":{"formattedCitation":"(Liu dkk., 2023)","manualFormatting":"(Liu, Liu dan Chen, 2023)","plainTextFormattedCitation":"(Liu dkk., 2023)","previouslyFormattedCitation":"(Liu, Liu dan Chen, 2023)"},"properties":{"noteIndex":0},"schema":"https://github.com/citation-style-language/schema/raw/master/csl-citation.json"}</w:instrText>
      </w:r>
      <w:r>
        <w:fldChar w:fldCharType="separate"/>
      </w:r>
      <w:r>
        <w:t>(Liu, Liu dan Chen, 2023)</w:t>
      </w:r>
      <w:r>
        <w:fldChar w:fldCharType="end"/>
      </w:r>
      <w:r>
        <w:rPr>
          <w:lang w:val="en-US"/>
        </w:rPr>
        <w:t>.</w:t>
      </w:r>
    </w:p>
    <w:p w14:paraId="723A7A5B">
      <w:pPr>
        <w:pStyle w:val="33"/>
        <w:numPr>
          <w:ilvl w:val="1"/>
          <w:numId w:val="10"/>
        </w:numPr>
        <w:ind w:left="851" w:hanging="425"/>
      </w:pPr>
      <w:r>
        <w:t xml:space="preserve">Penelitian yang dilakukan oleh </w:t>
      </w:r>
      <w:r>
        <w:rPr>
          <w:bCs/>
        </w:rPr>
        <w:t>Kratzert dkk. (2019)</w:t>
      </w:r>
      <w:r>
        <w:t xml:space="preserve"> melalui karya berjudul </w:t>
      </w:r>
      <w:r>
        <w:rPr>
          <w:lang w:val="en-US"/>
        </w:rPr>
        <w:t>“</w:t>
      </w:r>
      <w:r>
        <w:rPr>
          <w:i/>
          <w:iCs/>
        </w:rPr>
        <w:t>Towards learning universal, regional, dan local hydrological behaviors via machine learning applied to large-sample datasets</w:t>
      </w:r>
      <w:r>
        <w:rPr>
          <w:i/>
          <w:iCs/>
          <w:lang w:val="en-US"/>
        </w:rPr>
        <w:t>”</w:t>
      </w:r>
      <w:r>
        <w:t xml:space="preserve"> menunjukkan strategi </w:t>
      </w:r>
      <w:r>
        <w:rPr>
          <w:i/>
          <w:iCs/>
        </w:rPr>
        <w:t>multi-site learning</w:t>
      </w:r>
      <w:r>
        <w:t xml:space="preserve"> meningkatkan generalisasi model pada dataset besar. Temuan ini mendasari strategi pelatihan pada wilayah representatif agar model adaptif terhadap keragaman karakteristik hujan antar-pulau</w:t>
      </w:r>
      <w:r>
        <w:rPr>
          <w:lang w:val="en-US"/>
        </w:rPr>
        <w:t xml:space="preserve"> </w:t>
      </w:r>
      <w:r>
        <w:fldChar w:fldCharType="begin" w:fldLock="1"/>
      </w:r>
      <w:r>
        <w:instrText xml:space="preserve">ADDIN CSL_CITATION {"citationItems":[{"id":"ITEM-1","itemData":{"DOI":"10.5194/hess-23-5089-2019","abstract":"Abstract. Regional rainfall–runoff modeling is an old but still mostly outstanding problem in the hydrological sciences. The problem currently is that traditional hydrological models degrade significantly in performance when calibrated for multiple basins together instead of for a single basin alone. In this paper, we propose a novel, data-driven approach using Long Short-Term Memory networks (LSTMs) and demonstrate that under a “big data” paradigm, this is not necessarily the case. By training a single LSTM model on 531 basins from the CAMELS dataset using meteorological time series data and static catchment attributes, we were able to significantly improve performance compared to a set of several different hydrological benchmark models. Our proposed approach not only significantly outperforms hydrological models that were calibrated regionally, but also achieves better performance than hydrological models that were calibrated for each basin individually. Furthermore, we propose an adaption to the standard LSTM architecture, which we call an Entity-Aware-LSTM (EA-LSTM), that allows for learning catchment similarities as a feature layer in a deep learning model. We show that these learned catchment similarities correspond well to what we would expect from prior hydrological understanding. ","author":[{"dropping-particle":"","family":"Kratzert","given":"Frederik","non-dropping-particle":"","parse-names":false,"suffix":""},{"dropping-particle":"","family":"Klotz","given":"Daniel","non-dropping-particle":"","parse-names":false,"suffix":""},{"dropping-particle":"","family":"Shalev","given":"Guy","non-dropping-particle":"","parse-names":false,"suffix":""},{"dropping-particle":"","family":"Klambauer","given":"Günter","non-dropping-particle":"","parse-names":false,"suffix":""},{"dropping-particle":"","family":"Hochreiter","given":"Sepp","non-dropping-particle":"","parse-names":false,"suffix":""},{"dropping-particle":"","family":"Nearing","given":"Grey","non-dropping-particle":"","parse-names":false,"suffix":""}],"container-title":"Hydrology and Earth System Sciences","id":"ITEM-1","issue":"12","issued":{"date-parts":[["2019"]]},"page":"5089-5110","title":"Towards Learning Universal, Regional, and Local Hydrological Behaviors via Machine Learning Applied to Large-Sample Datasets","type":"article-journal","volume":"23"},"uris":["http://www.mendeley.com/documents/?uuid=f42354f6-a362-4695-999c-fb66f1434d88"]}],"mendeley":{"formattedCitation":"(Kratzert dkk., 2019)","manualFormatting":"(Kratzert dkk., 2019)","plainTextFormattedCitation":"(Kratzert dkk., 2019)","previouslyFormattedCitation":"(Kratzert &lt;i&gt;et al.&lt;/i&gt;, 2019)"},"properties":{"noteIndex":0},"schema":"https://github.com/citation-style-language/schema/raw/master/csl-citation.json"}</w:instrText>
      </w:r>
      <w:r>
        <w:fldChar w:fldCharType="separate"/>
      </w:r>
      <w:r>
        <w:t>(Kratzert dkk., 2019)</w:t>
      </w:r>
      <w:r>
        <w:fldChar w:fldCharType="end"/>
      </w:r>
      <w:r>
        <w:t>.</w:t>
      </w:r>
    </w:p>
    <w:p w14:paraId="4874E287">
      <w:pPr>
        <w:pStyle w:val="33"/>
        <w:numPr>
          <w:ilvl w:val="1"/>
          <w:numId w:val="10"/>
        </w:numPr>
        <w:ind w:left="851" w:hanging="425"/>
      </w:pPr>
      <w:r>
        <w:t xml:space="preserve">Penelitian </w:t>
      </w:r>
      <w:r>
        <w:rPr>
          <w:bCs/>
        </w:rPr>
        <w:t xml:space="preserve">Pal </w:t>
      </w:r>
      <w:r>
        <w:rPr>
          <w:bCs/>
          <w:lang w:val="en-US"/>
        </w:rPr>
        <w:t>dan</w:t>
      </w:r>
      <w:r>
        <w:rPr>
          <w:bCs/>
        </w:rPr>
        <w:t xml:space="preserve"> Dutta (2024)</w:t>
      </w:r>
      <w:r>
        <w:t xml:space="preserve"> berjudul </w:t>
      </w:r>
      <w:r>
        <w:rPr>
          <w:lang w:val="en-US"/>
        </w:rPr>
        <w:t>“</w:t>
      </w:r>
      <w:r>
        <w:rPr>
          <w:i/>
          <w:iCs/>
        </w:rPr>
        <w:t>Transfer Learning in Weather Prediction: Why, How, dan What Should</w:t>
      </w:r>
      <w:r>
        <w:t xml:space="preserve"> mengulas efektivitas </w:t>
      </w:r>
      <w:r>
        <w:rPr>
          <w:i/>
          <w:iCs/>
        </w:rPr>
        <w:t>Transfer Learning</w:t>
      </w:r>
      <w:r>
        <w:rPr>
          <w:i/>
          <w:iCs/>
          <w:lang w:val="en-US"/>
        </w:rPr>
        <w:t>”</w:t>
      </w:r>
      <w:r>
        <w:rPr>
          <w:lang w:val="en-US"/>
        </w:rPr>
        <w:t>, s</w:t>
      </w:r>
      <w:r>
        <w:t xml:space="preserve">tudi ini menegaskan bahwa transfer pengetahuan dari domain sumber ke domain target mampu mengatasi masalah ketidakcocokan distribusi data. Hal ini menjadi landasan metodologis krusial untuk menerapkan skema </w:t>
      </w:r>
      <w:r>
        <w:rPr>
          <w:i/>
          <w:iCs/>
        </w:rPr>
        <w:t>Transfer Learning</w:t>
      </w:r>
      <w:r>
        <w:t xml:space="preserve"> antar-wilayah di Indonesia</w:t>
      </w:r>
      <w:r>
        <w:rPr>
          <w:lang w:val="en-US"/>
        </w:rPr>
        <w:t>.</w:t>
      </w:r>
    </w:p>
    <w:p w14:paraId="47233D6B">
      <w:pPr>
        <w:pStyle w:val="33"/>
        <w:numPr>
          <w:ilvl w:val="1"/>
          <w:numId w:val="10"/>
        </w:numPr>
        <w:ind w:left="851" w:hanging="425"/>
      </w:pPr>
      <w:r>
        <w:t xml:space="preserve">Penelitian yang dilakukan oleh </w:t>
      </w:r>
      <w:r>
        <w:rPr>
          <w:bCs/>
        </w:rPr>
        <w:t>Darmawan dkk. (2023)</w:t>
      </w:r>
      <w:r>
        <w:rPr>
          <w:lang w:val="en-US"/>
        </w:rPr>
        <w:t xml:space="preserve">, </w:t>
      </w:r>
      <w:r>
        <w:t xml:space="preserve">berjudul </w:t>
      </w:r>
      <w:r>
        <w:rPr>
          <w:lang w:val="en-US"/>
        </w:rPr>
        <w:t>“</w:t>
      </w:r>
      <w:r>
        <w:rPr>
          <w:i/>
          <w:iCs/>
        </w:rPr>
        <w:t>Improving the Forecasting Accuracy Based on the Lunar Calendar in Modeling Rainfall Levels Using the Bi-LSTM Method through the Grid Search Approach</w:t>
      </w:r>
      <w:r>
        <w:rPr>
          <w:i/>
          <w:iCs/>
          <w:lang w:val="en-US"/>
        </w:rPr>
        <w:t>”</w:t>
      </w:r>
      <w:r>
        <w:t xml:space="preserve"> enyoroti inefisiensi komputasi metode </w:t>
      </w:r>
      <w:r>
        <w:rPr>
          <w:i/>
          <w:iCs/>
        </w:rPr>
        <w:t>Grid Search</w:t>
      </w:r>
      <w:r>
        <w:t xml:space="preserve"> dalam pencarian konfigurasi model. Kelemahan ini memotivasi pengembangan metode optimasi metaheuristik otomatis yang lebih efisien dalam penelitian ini </w:t>
      </w:r>
      <w:r>
        <w:fldChar w:fldCharType="begin" w:fldLock="1"/>
      </w:r>
      <w:r>
        <w:instrText xml:space="preserve">ADDIN CSL_CITATION {"citationItems":[{"id":"ITEM-1","itemData":{"DOI":"10.1155/2023/1863346","abstract":"Rainfall is one of the climatic factors that influence various human activities and affect decision making in daily life activities. High intensity of rainfall can turn into a threat and cause serious problems such as causing various natural disasters. Therefore, it is essential to conduct rainfall forecasting to anticipate and enable preventive actions and can be used as a decision consideration in increasing the productivity and mobility of human activities. The aim of this study is to compare rainfall accuracy between the Gregorian and the lunar calendars using the bidirectional long short-term memory (Bi-LSTM) machine learning model through the grid search approach. This method was used because it can capture patterns arising from the simultaneous effects of two asynchronous calendars, Gregorian and lunar, which were used in this study by finding the right parameters. Monthly rainfall data from Bogor City, Indonesia, were used from the period of 2001 to 2022. The results show that the MAPE of the lunar calendar is relatively smaller at 14.82% which indicates the better forecasting ability than the Gregorian calendar which is 35.12%.","author":[{"dropping-particle":"","family":"Darmawan","given":"Gumgum","non-dropping-particle":"","parse-names":false,"suffix":""},{"dropping-particle":"","family":"Handoko","given":"Budhi","non-dropping-particle":"","parse-names":false,"suffix":""},{"dropping-particle":"","family":"Faidah","given":"Defi Yusti","non-dropping-particle":"","parse-names":false,"suffix":""},{"dropping-particle":"","family":"Islamiaty","given":"Dian","non-dropping-particle":"","parse-names":false,"suffix":""}],"container-title":"The Scientific World Journal","id":"ITEM-1","issued":{"date-parts":[["2023"]]},"page":"1-8","title":"Improving the Forecasting Accuracy Based on the Lunar Calendar in Modeling Rainfall Levels Using the Bi-LSTM Method Through the Grid Search Approach","type":"article-journal","volume":"2023"},"uris":["http://www.mendeley.com/documents/?uuid=f87dfb08-4d70-4f02-8532-76844fde6c73"]}],"mendeley":{"formattedCitation":"(Darmawan dkk., 2023)","manualFormatting":"(Darmawan dkk., 2023)","plainTextFormattedCitation":"(Darmawan dkk., 2023)","previouslyFormattedCitation":"(Darmawan &lt;i&gt;et al.&lt;/i&gt;, 2023)"},"properties":{"noteIndex":0},"schema":"https://github.com/citation-style-language/schema/raw/master/csl-citation.json"}</w:instrText>
      </w:r>
      <w:r>
        <w:fldChar w:fldCharType="separate"/>
      </w:r>
      <w:r>
        <w:t>(Darmawan dkk., 2023)</w:t>
      </w:r>
      <w:r>
        <w:fldChar w:fldCharType="end"/>
      </w:r>
      <w:r>
        <w:t>.</w:t>
      </w:r>
    </w:p>
    <w:p w14:paraId="2DF80CB0">
      <w:pPr>
        <w:pStyle w:val="33"/>
        <w:numPr>
          <w:ilvl w:val="1"/>
          <w:numId w:val="10"/>
        </w:numPr>
        <w:ind w:left="851" w:hanging="425"/>
      </w:pPr>
      <w:r>
        <w:t xml:space="preserve">Penelitian </w:t>
      </w:r>
      <w:r>
        <w:rPr>
          <w:lang w:val="en-US"/>
        </w:rPr>
        <w:t xml:space="preserve"> </w:t>
      </w:r>
      <w:r>
        <w:t xml:space="preserve">yang dilakukan oleh </w:t>
      </w:r>
      <w:r>
        <w:rPr>
          <w:bCs/>
        </w:rPr>
        <w:t>Yang (2012)</w:t>
      </w:r>
      <w:r>
        <w:rPr>
          <w:lang w:val="en-US"/>
        </w:rPr>
        <w:t xml:space="preserve">, </w:t>
      </w:r>
      <w:r>
        <w:t xml:space="preserve">berjudul </w:t>
      </w:r>
      <w:r>
        <w:rPr>
          <w:lang w:val="en-US"/>
        </w:rPr>
        <w:t>“</w:t>
      </w:r>
      <w:r>
        <w:rPr>
          <w:i/>
          <w:iCs/>
        </w:rPr>
        <w:t>Flower Pollination Algorithm for Global Optimization</w:t>
      </w:r>
      <w:r>
        <w:rPr>
          <w:i/>
          <w:iCs/>
          <w:lang w:val="en-US"/>
        </w:rPr>
        <w:t>”</w:t>
      </w:r>
      <w:r>
        <w:t xml:space="preserve"> </w:t>
      </w:r>
      <w:r>
        <w:rPr>
          <w:lang w:val="en-US"/>
        </w:rPr>
        <w:t>m</w:t>
      </w:r>
      <w:r>
        <w:t xml:space="preserve">emperkenalkan </w:t>
      </w:r>
      <w:r>
        <w:rPr>
          <w:i/>
          <w:iCs/>
        </w:rPr>
        <w:t>Flower Pollination Algorithm</w:t>
      </w:r>
      <w:r>
        <w:t xml:space="preserve"> (FPA) yang andal menyeimbangkan eksplorasi dan eksploitasi. Algoritma ini menjadi fondasi teknis pengembangan IFPOA-X untuk optimasi </w:t>
      </w:r>
      <w:r>
        <w:rPr>
          <w:i/>
          <w:iCs/>
        </w:rPr>
        <w:t>hyperparameter</w:t>
      </w:r>
      <w:r>
        <w:t xml:space="preserve"> </w:t>
      </w:r>
      <w:r>
        <w:rPr>
          <w:i/>
        </w:rPr>
        <w:t>Transform</w:t>
      </w:r>
      <w:r>
        <w:rPr>
          <w:i/>
          <w:lang w:val="en-US"/>
        </w:rPr>
        <w:t>er</w:t>
      </w:r>
      <w:r>
        <w:rPr>
          <w:lang w:val="en-US"/>
        </w:rPr>
        <w:t xml:space="preserve"> </w:t>
      </w:r>
      <w:r>
        <w:fldChar w:fldCharType="begin" w:fldLock="1"/>
      </w:r>
      <w:r>
        <w:instrText xml:space="preserve">ADDIN CSL_CITATION {"citationItems":[{"id":"ITEM-1","itemData":{"DOI":"10.1007/978-3-642-32894-7_27","abstract":" AbstractFlower pollination is an intriguing process in the natural world. Its evolutionary characteristics can be used to design new optimization algorithms. In this paper, we propose a new algorithm, namely, flower pollination algorithm, inspired by the pollination process of flowers. We first use ten test functions to validate the new algorithm, and compare its performance with genetic algorithms and particle swarm optimization. Our simulation results show the flower algorithm is more efficient than both GA and PSO. We also use the flower algorithm to solve a nonlinear design benchmark, which shows the convergence rate is almost exponential. ","author":[{"dropping-particle":"","family":"Yang","given":"Xin-She","non-dropping-particle":"","parse-names":false,"suffix":""}],"container-title":"Lecture Notes in Computer Science","id":"ITEM-1","issued":{"date-parts":[["2012"]]},"page":"240-249","title":"Flower Pollination Algorithm for Global Optimization","type":"article-journal"},"uris":["http://www.mendeley.com/documents/?uuid=b0cf6e08-7536-4e55-b2e6-9a8bbaabe1ea"]}],"mendeley":{"formattedCitation":"(Yang, 2012)","plainTextFormattedCitation":"(Yang, 2012)","previouslyFormattedCitation":"(Yang, 2012)"},"properties":{"noteIndex":0},"schema":"https://github.com/citation-style-language/schema/raw/master/csl-citation.json"}</w:instrText>
      </w:r>
      <w:r>
        <w:fldChar w:fldCharType="separate"/>
      </w:r>
      <w:r>
        <w:t>(Yang, 2012)</w:t>
      </w:r>
      <w:r>
        <w:fldChar w:fldCharType="end"/>
      </w:r>
      <w:r>
        <w:t>.</w:t>
      </w:r>
    </w:p>
    <w:p w14:paraId="200B751C">
      <w:pPr>
        <w:pStyle w:val="11"/>
        <w:keepNext/>
        <w:jc w:val="center"/>
        <w:rPr>
          <w:b/>
          <w:i w:val="0"/>
          <w:color w:val="auto"/>
          <w:sz w:val="24"/>
        </w:rPr>
      </w:pPr>
      <w:bookmarkStart w:id="23" w:name="_Toc221800450"/>
      <w:r>
        <w:rPr>
          <w:b/>
          <w:i w:val="0"/>
          <w:color w:val="auto"/>
          <w:sz w:val="24"/>
        </w:rPr>
        <w:t>Tabel 2.</w:t>
      </w:r>
      <w:r>
        <w:rPr>
          <w:b/>
          <w:i w:val="0"/>
          <w:color w:val="auto"/>
          <w:sz w:val="24"/>
          <w:lang w:val="en-US"/>
        </w:rPr>
        <w:t xml:space="preserve"> </w:t>
      </w:r>
      <w:r>
        <w:rPr>
          <w:b/>
          <w:i w:val="0"/>
          <w:color w:val="auto"/>
          <w:sz w:val="24"/>
        </w:rPr>
        <w:fldChar w:fldCharType="begin"/>
      </w:r>
      <w:r>
        <w:rPr>
          <w:b/>
          <w:i w:val="0"/>
          <w:color w:val="auto"/>
          <w:sz w:val="24"/>
        </w:rPr>
        <w:instrText xml:space="preserve"> SEQ Tabel_2.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lang w:val="en-US"/>
        </w:rPr>
        <w:t xml:space="preserve"> Perbandingan Penelitian Terdahulu dan Penelitian Ini</w:t>
      </w:r>
      <w:bookmarkEnd w:id="23"/>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494"/>
        <w:gridCol w:w="3821"/>
      </w:tblGrid>
      <w:tr w14:paraId="6D80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987D59">
            <w:pPr>
              <w:spacing w:after="0" w:line="240" w:lineRule="auto"/>
              <w:jc w:val="center"/>
              <w:rPr>
                <w:rFonts w:eastAsia="Times New Roman" w:cs="Times New Roman"/>
                <w:b/>
                <w:color w:val="1F1F1F"/>
                <w:szCs w:val="24"/>
              </w:rPr>
            </w:pPr>
            <w:r>
              <w:rPr>
                <w:rFonts w:eastAsia="Times New Roman" w:cs="Times New Roman"/>
                <w:b/>
                <w:bCs/>
                <w:color w:val="1F1F1F"/>
                <w:szCs w:val="24"/>
              </w:rPr>
              <w:t>Peneliti (Tahun)</w:t>
            </w:r>
          </w:p>
        </w:tc>
        <w:tc>
          <w:tcPr>
            <w:tcW w:w="2494" w:type="dxa"/>
            <w:vAlign w:val="center"/>
          </w:tcPr>
          <w:p w14:paraId="5F0DB8CA">
            <w:pPr>
              <w:spacing w:after="0" w:line="240" w:lineRule="auto"/>
              <w:jc w:val="center"/>
              <w:rPr>
                <w:rFonts w:eastAsia="Times New Roman" w:cs="Times New Roman"/>
                <w:b/>
                <w:color w:val="1F1F1F"/>
                <w:szCs w:val="24"/>
              </w:rPr>
            </w:pPr>
            <w:r>
              <w:rPr>
                <w:rFonts w:eastAsia="Times New Roman" w:cs="Times New Roman"/>
                <w:b/>
                <w:bCs/>
                <w:color w:val="1F1F1F"/>
                <w:szCs w:val="24"/>
              </w:rPr>
              <w:t>Fokus / Metode Utama</w:t>
            </w:r>
          </w:p>
        </w:tc>
        <w:tc>
          <w:tcPr>
            <w:tcW w:w="3821" w:type="dxa"/>
            <w:vAlign w:val="center"/>
          </w:tcPr>
          <w:p w14:paraId="2C770828">
            <w:pPr>
              <w:spacing w:after="0" w:line="240" w:lineRule="auto"/>
              <w:jc w:val="center"/>
              <w:rPr>
                <w:rFonts w:eastAsia="Times New Roman" w:cs="Times New Roman"/>
                <w:b/>
                <w:color w:val="1F1F1F"/>
                <w:szCs w:val="24"/>
              </w:rPr>
            </w:pPr>
            <w:r>
              <w:rPr>
                <w:rFonts w:eastAsia="Times New Roman" w:cs="Times New Roman"/>
                <w:b/>
                <w:bCs/>
                <w:color w:val="1F1F1F"/>
                <w:szCs w:val="24"/>
              </w:rPr>
              <w:t>Keterbatasan (</w:t>
            </w:r>
            <w:r>
              <w:rPr>
                <w:rFonts w:eastAsia="Times New Roman" w:cs="Times New Roman"/>
                <w:b/>
                <w:bCs/>
                <w:i/>
                <w:color w:val="1F1F1F"/>
                <w:szCs w:val="24"/>
              </w:rPr>
              <w:t>Gap Research</w:t>
            </w:r>
            <w:r>
              <w:rPr>
                <w:rFonts w:eastAsia="Times New Roman" w:cs="Times New Roman"/>
                <w:b/>
                <w:bCs/>
                <w:color w:val="1F1F1F"/>
                <w:szCs w:val="24"/>
              </w:rPr>
              <w:t>)</w:t>
            </w:r>
          </w:p>
        </w:tc>
      </w:tr>
      <w:tr w14:paraId="3F5B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E7238EA">
            <w:pPr>
              <w:spacing w:after="0" w:line="240" w:lineRule="auto"/>
              <w:jc w:val="center"/>
              <w:rPr>
                <w:rFonts w:eastAsia="Times New Roman" w:cs="Times New Roman"/>
                <w:color w:val="1F1F1F"/>
                <w:szCs w:val="24"/>
              </w:rPr>
            </w:pPr>
            <w:r>
              <w:rPr>
                <w:rFonts w:eastAsia="Times New Roman" w:cs="Times New Roman"/>
                <w:bCs/>
                <w:color w:val="1F1F1F"/>
                <w:szCs w:val="24"/>
              </w:rPr>
              <w:t>Giarno dkk. (2023)</w:t>
            </w:r>
          </w:p>
        </w:tc>
        <w:tc>
          <w:tcPr>
            <w:tcW w:w="2494" w:type="dxa"/>
            <w:vAlign w:val="center"/>
          </w:tcPr>
          <w:p w14:paraId="7EFE659C">
            <w:pPr>
              <w:spacing w:after="0" w:line="240" w:lineRule="auto"/>
              <w:jc w:val="center"/>
              <w:rPr>
                <w:rFonts w:eastAsia="Times New Roman" w:cs="Times New Roman"/>
                <w:color w:val="1F1F1F"/>
                <w:szCs w:val="24"/>
              </w:rPr>
            </w:pPr>
            <w:r>
              <w:rPr>
                <w:rFonts w:eastAsia="Times New Roman" w:cs="Times New Roman"/>
                <w:color w:val="1F1F1F"/>
                <w:szCs w:val="24"/>
              </w:rPr>
              <w:t>Analisis meteorologis pengaruh sirkulasi global (ENSO/MJO) pada hujan ekstrem</w:t>
            </w:r>
          </w:p>
        </w:tc>
        <w:tc>
          <w:tcPr>
            <w:tcW w:w="3821" w:type="dxa"/>
            <w:vAlign w:val="center"/>
          </w:tcPr>
          <w:p w14:paraId="008D1493">
            <w:pPr>
              <w:spacing w:after="0" w:line="240" w:lineRule="auto"/>
              <w:jc w:val="center"/>
              <w:rPr>
                <w:rFonts w:eastAsia="Times New Roman" w:cs="Times New Roman"/>
                <w:color w:val="1F1F1F"/>
                <w:szCs w:val="24"/>
                <w:lang w:val="en-US"/>
              </w:rPr>
            </w:pPr>
            <w:r>
              <w:rPr>
                <w:rFonts w:eastAsia="Times New Roman" w:cs="Times New Roman"/>
                <w:color w:val="1F1F1F"/>
                <w:szCs w:val="24"/>
              </w:rPr>
              <w:t xml:space="preserve">Fokus pada analisis fenomena fisik, belum mengembangkan model prediksi </w:t>
            </w:r>
            <w:r>
              <w:rPr>
                <w:rFonts w:eastAsia="Times New Roman" w:cs="Times New Roman"/>
                <w:i/>
                <w:iCs/>
                <w:color w:val="1F1F1F"/>
                <w:szCs w:val="24"/>
              </w:rPr>
              <w:t>Deep Learning</w:t>
            </w:r>
          </w:p>
        </w:tc>
      </w:tr>
      <w:tr w14:paraId="1C6D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2D3B9B0">
            <w:pPr>
              <w:spacing w:after="0" w:line="240" w:lineRule="auto"/>
              <w:jc w:val="center"/>
              <w:rPr>
                <w:rFonts w:eastAsia="Times New Roman" w:cs="Times New Roman"/>
                <w:color w:val="1F1F1F"/>
                <w:szCs w:val="24"/>
              </w:rPr>
            </w:pPr>
            <w:r>
              <w:rPr>
                <w:rFonts w:eastAsia="Times New Roman" w:cs="Times New Roman"/>
                <w:bCs/>
                <w:color w:val="1F1F1F"/>
                <w:szCs w:val="24"/>
              </w:rPr>
              <w:t>Liu dkk. (2023)</w:t>
            </w:r>
          </w:p>
        </w:tc>
        <w:tc>
          <w:tcPr>
            <w:tcW w:w="2494" w:type="dxa"/>
            <w:vAlign w:val="center"/>
          </w:tcPr>
          <w:p w14:paraId="2F8751A1">
            <w:pPr>
              <w:spacing w:after="0" w:line="240" w:lineRule="auto"/>
              <w:jc w:val="center"/>
              <w:rPr>
                <w:rFonts w:eastAsia="Times New Roman" w:cs="Times New Roman"/>
                <w:color w:val="1F1F1F"/>
                <w:szCs w:val="24"/>
              </w:rPr>
            </w:pPr>
            <w:r>
              <w:rPr>
                <w:rFonts w:eastAsia="Times New Roman" w:cs="Times New Roman"/>
                <w:color w:val="1F1F1F"/>
                <w:szCs w:val="24"/>
              </w:rPr>
              <w:t xml:space="preserve">Model </w:t>
            </w:r>
            <w:r>
              <w:rPr>
                <w:rFonts w:eastAsia="Times New Roman" w:cs="Times New Roman"/>
                <w:i/>
                <w:iCs/>
                <w:color w:val="1F1F1F"/>
                <w:szCs w:val="24"/>
              </w:rPr>
              <w:t>RLNformer</w:t>
            </w:r>
            <w:r>
              <w:rPr>
                <w:rFonts w:eastAsia="Times New Roman" w:cs="Times New Roman"/>
                <w:color w:val="1F1F1F"/>
                <w:szCs w:val="24"/>
              </w:rPr>
              <w:t xml:space="preserve"> (</w:t>
            </w:r>
            <w:r>
              <w:rPr>
                <w:rFonts w:eastAsia="Times New Roman" w:cs="Times New Roman"/>
                <w:i/>
                <w:color w:val="1F1F1F"/>
                <w:szCs w:val="24"/>
              </w:rPr>
              <w:t>Transformer</w:t>
            </w:r>
            <w:r>
              <w:rPr>
                <w:rFonts w:eastAsia="Times New Roman" w:cs="Times New Roman"/>
                <w:color w:val="1F1F1F"/>
                <w:szCs w:val="24"/>
              </w:rPr>
              <w:t xml:space="preserve">) untuk </w:t>
            </w:r>
            <w:r>
              <w:rPr>
                <w:rFonts w:eastAsia="Times New Roman" w:cs="Times New Roman"/>
                <w:i/>
                <w:iCs/>
                <w:color w:val="1F1F1F"/>
                <w:szCs w:val="24"/>
              </w:rPr>
              <w:t>Nowcasting</w:t>
            </w:r>
            <w:r>
              <w:rPr>
                <w:rFonts w:eastAsia="Times New Roman" w:cs="Times New Roman"/>
                <w:color w:val="1F1F1F"/>
                <w:szCs w:val="24"/>
              </w:rPr>
              <w:t xml:space="preserve"> (jangka pendek) dengan </w:t>
            </w:r>
            <w:r>
              <w:rPr>
                <w:rFonts w:eastAsia="Times New Roman" w:cs="Times New Roman"/>
                <w:i/>
                <w:iCs/>
                <w:color w:val="1F1F1F"/>
                <w:szCs w:val="24"/>
              </w:rPr>
              <w:t>self-attention</w:t>
            </w:r>
          </w:p>
        </w:tc>
        <w:tc>
          <w:tcPr>
            <w:tcW w:w="3821" w:type="dxa"/>
            <w:vAlign w:val="center"/>
          </w:tcPr>
          <w:p w14:paraId="75536C45">
            <w:pPr>
              <w:spacing w:after="0" w:line="240" w:lineRule="auto"/>
              <w:jc w:val="center"/>
              <w:rPr>
                <w:rFonts w:eastAsia="Times New Roman" w:cs="Times New Roman"/>
                <w:color w:val="1F1F1F"/>
                <w:szCs w:val="24"/>
              </w:rPr>
            </w:pPr>
            <w:r>
              <w:rPr>
                <w:rFonts w:eastAsia="Times New Roman" w:cs="Times New Roman"/>
                <w:color w:val="1F1F1F"/>
                <w:szCs w:val="24"/>
              </w:rPr>
              <w:t xml:space="preserve">Masih menggunakan konfigurasi standar atau manual, belum menerapkan optimasi </w:t>
            </w:r>
            <w:r>
              <w:rPr>
                <w:rFonts w:eastAsia="Times New Roman" w:cs="Times New Roman"/>
                <w:i/>
                <w:iCs/>
                <w:color w:val="1F1F1F"/>
                <w:szCs w:val="24"/>
              </w:rPr>
              <w:t>hyperparameter</w:t>
            </w:r>
            <w:r>
              <w:rPr>
                <w:rFonts w:eastAsia="Times New Roman" w:cs="Times New Roman"/>
                <w:color w:val="1F1F1F"/>
                <w:szCs w:val="24"/>
              </w:rPr>
              <w:t xml:space="preserve"> berbasis metaheuristik</w:t>
            </w:r>
          </w:p>
        </w:tc>
      </w:tr>
      <w:tr w14:paraId="74E9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16CFE9D">
            <w:pPr>
              <w:spacing w:after="0" w:line="240" w:lineRule="auto"/>
              <w:jc w:val="center"/>
              <w:rPr>
                <w:rFonts w:eastAsia="Times New Roman" w:cs="Times New Roman"/>
                <w:color w:val="1F1F1F"/>
                <w:szCs w:val="24"/>
              </w:rPr>
            </w:pPr>
            <w:r>
              <w:rPr>
                <w:rFonts w:eastAsia="Times New Roman" w:cs="Times New Roman"/>
                <w:bCs/>
                <w:color w:val="1F1F1F"/>
                <w:szCs w:val="24"/>
              </w:rPr>
              <w:t xml:space="preserve">Pal </w:t>
            </w:r>
            <w:r>
              <w:rPr>
                <w:rFonts w:eastAsia="Times New Roman" w:cs="Times New Roman"/>
                <w:bCs/>
                <w:color w:val="1F1F1F"/>
                <w:szCs w:val="24"/>
                <w:lang w:val="en-US"/>
              </w:rPr>
              <w:t>dan</w:t>
            </w:r>
            <w:r>
              <w:rPr>
                <w:rFonts w:eastAsia="Times New Roman" w:cs="Times New Roman"/>
                <w:bCs/>
                <w:color w:val="1F1F1F"/>
                <w:szCs w:val="24"/>
              </w:rPr>
              <w:t xml:space="preserve"> Dutta (2024)</w:t>
            </w:r>
            <w:r>
              <w:rPr>
                <w:rFonts w:eastAsia="Times New Roman" w:cs="Times New Roman"/>
                <w:color w:val="1F1F1F"/>
                <w:szCs w:val="24"/>
              </w:rPr>
              <w:t xml:space="preserve">; </w:t>
            </w:r>
            <w:r>
              <w:rPr>
                <w:rFonts w:eastAsia="Times New Roman" w:cs="Times New Roman"/>
                <w:bCs/>
                <w:color w:val="1F1F1F"/>
                <w:szCs w:val="24"/>
              </w:rPr>
              <w:t>Kratzert dkk. (2019)</w:t>
            </w:r>
          </w:p>
        </w:tc>
        <w:tc>
          <w:tcPr>
            <w:tcW w:w="2494" w:type="dxa"/>
            <w:vAlign w:val="center"/>
          </w:tcPr>
          <w:p w14:paraId="3D708DA0">
            <w:pPr>
              <w:spacing w:after="0" w:line="240" w:lineRule="auto"/>
              <w:jc w:val="center"/>
              <w:rPr>
                <w:rFonts w:eastAsia="Times New Roman" w:cs="Times New Roman"/>
                <w:color w:val="1F1F1F"/>
                <w:szCs w:val="24"/>
              </w:rPr>
            </w:pPr>
            <w:r>
              <w:rPr>
                <w:rFonts w:eastAsia="Times New Roman" w:cs="Times New Roman"/>
                <w:color w:val="1F1F1F"/>
                <w:szCs w:val="24"/>
              </w:rPr>
              <w:t xml:space="preserve">Strategi </w:t>
            </w:r>
            <w:r>
              <w:rPr>
                <w:rFonts w:eastAsia="Times New Roman" w:cs="Times New Roman"/>
                <w:i/>
                <w:iCs/>
                <w:color w:val="1F1F1F"/>
                <w:szCs w:val="24"/>
              </w:rPr>
              <w:t>Transfer Learning</w:t>
            </w:r>
            <w:r>
              <w:rPr>
                <w:rFonts w:eastAsia="Times New Roman" w:cs="Times New Roman"/>
                <w:color w:val="1F1F1F"/>
                <w:szCs w:val="24"/>
              </w:rPr>
              <w:t xml:space="preserve"> dan </w:t>
            </w:r>
            <w:r>
              <w:rPr>
                <w:rFonts w:eastAsia="Times New Roman" w:cs="Times New Roman"/>
                <w:i/>
                <w:iCs/>
                <w:color w:val="1F1F1F"/>
                <w:szCs w:val="24"/>
              </w:rPr>
              <w:t>Multi-site Learning</w:t>
            </w:r>
            <w:r>
              <w:rPr>
                <w:rFonts w:eastAsia="Times New Roman" w:cs="Times New Roman"/>
                <w:color w:val="1F1F1F"/>
                <w:szCs w:val="24"/>
              </w:rPr>
              <w:t xml:space="preserve"> untuk generalisasi model</w:t>
            </w:r>
          </w:p>
        </w:tc>
        <w:tc>
          <w:tcPr>
            <w:tcW w:w="3821" w:type="dxa"/>
            <w:vAlign w:val="center"/>
          </w:tcPr>
          <w:p w14:paraId="21F5FCA2">
            <w:pPr>
              <w:spacing w:after="0" w:line="240" w:lineRule="auto"/>
              <w:jc w:val="center"/>
              <w:rPr>
                <w:rFonts w:eastAsia="Times New Roman" w:cs="Times New Roman"/>
                <w:color w:val="1F1F1F"/>
                <w:szCs w:val="24"/>
              </w:rPr>
            </w:pPr>
            <w:r>
              <w:rPr>
                <w:rFonts w:eastAsia="Times New Roman" w:cs="Times New Roman"/>
                <w:color w:val="1F1F1F"/>
                <w:szCs w:val="24"/>
              </w:rPr>
              <w:t>Mayoritas masih diterapkan pada domain hidrologi umum atau tinjauan teoretis, belum diuji ketangguhannya</w:t>
            </w:r>
            <w:r>
              <w:rPr>
                <w:rFonts w:eastAsia="Times New Roman" w:cs="Times New Roman"/>
                <w:color w:val="1F1F1F"/>
                <w:szCs w:val="24"/>
                <w:lang w:val="en-US"/>
              </w:rPr>
              <w:t xml:space="preserve"> </w:t>
            </w:r>
            <w:r>
              <w:rPr>
                <w:rFonts w:eastAsia="Times New Roman" w:cs="Times New Roman"/>
                <w:color w:val="1F1F1F"/>
                <w:szCs w:val="24"/>
              </w:rPr>
              <w:t xml:space="preserve">pada hujan dasarian </w:t>
            </w:r>
            <w:r>
              <w:rPr>
                <w:rFonts w:eastAsia="Times New Roman" w:cs="Times New Roman"/>
                <w:color w:val="1F1F1F"/>
                <w:szCs w:val="24"/>
                <w:lang w:val="en-US"/>
              </w:rPr>
              <w:t>y</w:t>
            </w:r>
            <w:r>
              <w:rPr>
                <w:rFonts w:eastAsia="Times New Roman" w:cs="Times New Roman"/>
                <w:color w:val="1F1F1F"/>
                <w:szCs w:val="24"/>
              </w:rPr>
              <w:t>ang kompleks</w:t>
            </w:r>
          </w:p>
        </w:tc>
      </w:tr>
      <w:tr w14:paraId="4DBE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EE9E9A5">
            <w:pPr>
              <w:spacing w:after="0" w:line="240" w:lineRule="auto"/>
              <w:jc w:val="center"/>
              <w:rPr>
                <w:rFonts w:eastAsia="Times New Roman" w:cs="Times New Roman"/>
                <w:color w:val="1F1F1F"/>
                <w:szCs w:val="24"/>
              </w:rPr>
            </w:pPr>
            <w:r>
              <w:rPr>
                <w:rFonts w:eastAsia="Times New Roman" w:cs="Times New Roman"/>
                <w:bCs/>
                <w:color w:val="1F1F1F"/>
                <w:szCs w:val="24"/>
              </w:rPr>
              <w:t>Darmawan dkk. (2023)</w:t>
            </w:r>
          </w:p>
        </w:tc>
        <w:tc>
          <w:tcPr>
            <w:tcW w:w="2494" w:type="dxa"/>
            <w:vAlign w:val="center"/>
          </w:tcPr>
          <w:p w14:paraId="2EB5284C">
            <w:pPr>
              <w:spacing w:after="0" w:line="240" w:lineRule="auto"/>
              <w:jc w:val="center"/>
              <w:rPr>
                <w:rFonts w:eastAsia="Times New Roman" w:cs="Times New Roman"/>
                <w:color w:val="1F1F1F"/>
                <w:szCs w:val="24"/>
              </w:rPr>
            </w:pPr>
            <w:r>
              <w:rPr>
                <w:rFonts w:eastAsia="Times New Roman" w:cs="Times New Roman"/>
                <w:color w:val="1F1F1F"/>
                <w:szCs w:val="24"/>
              </w:rPr>
              <w:t xml:space="preserve">Optimasi model Bi-LSTM menggunakan metode </w:t>
            </w:r>
            <w:r>
              <w:rPr>
                <w:rFonts w:eastAsia="Times New Roman" w:cs="Times New Roman"/>
                <w:i/>
                <w:iCs/>
                <w:color w:val="1F1F1F"/>
                <w:szCs w:val="24"/>
              </w:rPr>
              <w:t>Grid Search</w:t>
            </w:r>
          </w:p>
        </w:tc>
        <w:tc>
          <w:tcPr>
            <w:tcW w:w="3821" w:type="dxa"/>
            <w:vAlign w:val="center"/>
          </w:tcPr>
          <w:p w14:paraId="76D7BEC7">
            <w:pPr>
              <w:spacing w:after="0" w:line="240" w:lineRule="auto"/>
              <w:jc w:val="center"/>
              <w:rPr>
                <w:rFonts w:eastAsia="Times New Roman" w:cs="Times New Roman"/>
                <w:color w:val="1F1F1F"/>
                <w:szCs w:val="24"/>
              </w:rPr>
            </w:pPr>
            <w:r>
              <w:rPr>
                <w:rFonts w:eastAsia="Times New Roman" w:cs="Times New Roman"/>
                <w:color w:val="1F1F1F"/>
                <w:szCs w:val="24"/>
              </w:rPr>
              <w:t xml:space="preserve">Metode </w:t>
            </w:r>
            <w:r>
              <w:rPr>
                <w:rFonts w:eastAsia="Times New Roman" w:cs="Times New Roman"/>
                <w:i/>
                <w:iCs/>
                <w:color w:val="1F1F1F"/>
                <w:szCs w:val="24"/>
              </w:rPr>
              <w:t>Grid Search</w:t>
            </w:r>
            <w:r>
              <w:rPr>
                <w:rFonts w:eastAsia="Times New Roman" w:cs="Times New Roman"/>
                <w:color w:val="1F1F1F"/>
                <w:szCs w:val="24"/>
              </w:rPr>
              <w:t xml:space="preserve"> bersifat </w:t>
            </w:r>
            <w:r>
              <w:rPr>
                <w:rFonts w:eastAsia="Times New Roman" w:cs="Times New Roman"/>
                <w:i/>
                <w:iCs/>
                <w:color w:val="1F1F1F"/>
                <w:szCs w:val="24"/>
              </w:rPr>
              <w:t>brute-force</w:t>
            </w:r>
            <w:r>
              <w:rPr>
                <w:rFonts w:eastAsia="Times New Roman" w:cs="Times New Roman"/>
                <w:color w:val="1F1F1F"/>
                <w:szCs w:val="24"/>
              </w:rPr>
              <w:t xml:space="preserve"> yang sangat boros komputasi dan tidak efisien untuk ruang pencarian solusi yang besar</w:t>
            </w:r>
          </w:p>
        </w:tc>
      </w:tr>
      <w:tr w14:paraId="1707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B56AAF9">
            <w:pPr>
              <w:spacing w:after="0" w:line="240" w:lineRule="auto"/>
              <w:jc w:val="center"/>
              <w:rPr>
                <w:rFonts w:eastAsia="Times New Roman" w:cs="Times New Roman"/>
                <w:color w:val="1F1F1F"/>
                <w:szCs w:val="24"/>
              </w:rPr>
            </w:pPr>
            <w:r>
              <w:rPr>
                <w:rFonts w:eastAsia="Times New Roman" w:cs="Times New Roman"/>
                <w:bCs/>
                <w:color w:val="1F1F1F"/>
                <w:szCs w:val="24"/>
              </w:rPr>
              <w:t>Yang (2012)</w:t>
            </w:r>
          </w:p>
        </w:tc>
        <w:tc>
          <w:tcPr>
            <w:tcW w:w="2494" w:type="dxa"/>
            <w:vAlign w:val="center"/>
          </w:tcPr>
          <w:p w14:paraId="36E9ECAC">
            <w:pPr>
              <w:spacing w:after="0" w:line="240" w:lineRule="auto"/>
              <w:jc w:val="center"/>
              <w:rPr>
                <w:rFonts w:eastAsia="Times New Roman" w:cs="Times New Roman"/>
                <w:color w:val="1F1F1F"/>
                <w:szCs w:val="24"/>
              </w:rPr>
            </w:pPr>
            <w:r>
              <w:rPr>
                <w:rFonts w:eastAsia="Times New Roman" w:cs="Times New Roman"/>
                <w:color w:val="1F1F1F"/>
                <w:szCs w:val="24"/>
              </w:rPr>
              <w:t xml:space="preserve">Pengembangan algoritma dasar </w:t>
            </w:r>
            <w:r>
              <w:rPr>
                <w:rFonts w:eastAsia="Times New Roman" w:cs="Times New Roman"/>
                <w:i/>
                <w:iCs/>
                <w:color w:val="1F1F1F"/>
                <w:szCs w:val="24"/>
              </w:rPr>
              <w:t>Flower Pollination Algorithm</w:t>
            </w:r>
            <w:r>
              <w:rPr>
                <w:rFonts w:eastAsia="Times New Roman" w:cs="Times New Roman"/>
                <w:color w:val="1F1F1F"/>
                <w:szCs w:val="24"/>
              </w:rPr>
              <w:t xml:space="preserve"> (FPA)</w:t>
            </w:r>
          </w:p>
        </w:tc>
        <w:tc>
          <w:tcPr>
            <w:tcW w:w="3821" w:type="dxa"/>
            <w:vAlign w:val="center"/>
          </w:tcPr>
          <w:p w14:paraId="472950A2">
            <w:pPr>
              <w:spacing w:after="0" w:line="240" w:lineRule="auto"/>
              <w:jc w:val="center"/>
              <w:rPr>
                <w:rFonts w:eastAsia="Times New Roman" w:cs="Times New Roman"/>
                <w:color w:val="1F1F1F"/>
                <w:szCs w:val="24"/>
              </w:rPr>
            </w:pPr>
            <w:r>
              <w:rPr>
                <w:rFonts w:eastAsia="Times New Roman" w:cs="Times New Roman"/>
                <w:color w:val="1F1F1F"/>
                <w:szCs w:val="24"/>
              </w:rPr>
              <w:t>Algoritma asli FPA masih memiliki risiko terjebak di optimum lokal dan konvergensi lambat jika tidak dimodifikasi</w:t>
            </w:r>
          </w:p>
        </w:tc>
      </w:tr>
      <w:tr w14:paraId="538C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C7BCA1A">
            <w:pPr>
              <w:spacing w:after="0" w:line="240" w:lineRule="auto"/>
              <w:jc w:val="center"/>
              <w:rPr>
                <w:rFonts w:eastAsia="Times New Roman" w:cs="Times New Roman"/>
                <w:color w:val="1F1F1F"/>
                <w:szCs w:val="24"/>
              </w:rPr>
            </w:pPr>
            <w:r>
              <w:rPr>
                <w:rFonts w:eastAsia="Times New Roman" w:cs="Times New Roman"/>
                <w:bCs/>
                <w:color w:val="1F1F1F"/>
                <w:szCs w:val="24"/>
              </w:rPr>
              <w:t>Penelitian Ini</w:t>
            </w:r>
          </w:p>
        </w:tc>
        <w:tc>
          <w:tcPr>
            <w:tcW w:w="2494" w:type="dxa"/>
            <w:vAlign w:val="center"/>
          </w:tcPr>
          <w:p w14:paraId="04050198">
            <w:pPr>
              <w:spacing w:after="0" w:line="240" w:lineRule="auto"/>
              <w:jc w:val="center"/>
              <w:rPr>
                <w:rFonts w:eastAsia="Times New Roman" w:cs="Times New Roman"/>
                <w:color w:val="1F1F1F"/>
                <w:szCs w:val="24"/>
              </w:rPr>
            </w:pPr>
            <w:r>
              <w:rPr>
                <w:rFonts w:eastAsia="Times New Roman" w:cs="Times New Roman"/>
                <w:bCs/>
                <w:color w:val="1F1F1F"/>
                <w:szCs w:val="24"/>
              </w:rPr>
              <w:t>Transformer + IFPOA-X + Transfer Learning</w:t>
            </w:r>
          </w:p>
        </w:tc>
        <w:tc>
          <w:tcPr>
            <w:tcW w:w="3821" w:type="dxa"/>
            <w:vAlign w:val="center"/>
          </w:tcPr>
          <w:p w14:paraId="4F1AD5E5">
            <w:pPr>
              <w:spacing w:after="0" w:line="240" w:lineRule="auto"/>
              <w:jc w:val="center"/>
              <w:rPr>
                <w:rFonts w:eastAsia="Times New Roman" w:cs="Times New Roman"/>
                <w:color w:val="1F1F1F"/>
                <w:szCs w:val="24"/>
                <w:lang w:val="en-US"/>
              </w:rPr>
            </w:pPr>
            <w:r>
              <w:rPr>
                <w:rFonts w:eastAsia="Times New Roman" w:cs="Times New Roman"/>
                <w:bCs/>
                <w:color w:val="1F1F1F"/>
                <w:szCs w:val="24"/>
              </w:rPr>
              <w:t xml:space="preserve">Mengisi celah dengan </w:t>
            </w:r>
            <w:r>
              <w:rPr>
                <w:rFonts w:eastAsia="Times New Roman" w:cs="Times New Roman"/>
                <w:bCs/>
                <w:color w:val="1F1F1F"/>
                <w:szCs w:val="24"/>
                <w:lang w:val="en-US"/>
              </w:rPr>
              <w:t>fokus pada akurasi, ketangguhan dan efisiensi komputasi, serta penerapan lintas pola hujan</w:t>
            </w:r>
          </w:p>
        </w:tc>
      </w:tr>
    </w:tbl>
    <w:p w14:paraId="545A6441">
      <w:pPr>
        <w:pStyle w:val="3"/>
      </w:pPr>
      <w:bookmarkStart w:id="24" w:name="_Toc236076725"/>
      <w:r>
        <w:t>2.2 Landasan Teori</w:t>
      </w:r>
      <w:bookmarkEnd w:id="24"/>
    </w:p>
    <w:p w14:paraId="2AC4FD36">
      <w:pPr>
        <w:pStyle w:val="4"/>
        <w:rPr>
          <w:lang w:val="en-US"/>
        </w:rPr>
      </w:pPr>
      <w:bookmarkStart w:id="25" w:name="_Toc236076726"/>
      <w:r>
        <w:t>2.2.</w:t>
      </w:r>
      <w:r>
        <w:rPr>
          <w:lang w:val="en-US"/>
        </w:rPr>
        <w:t xml:space="preserve">1 </w:t>
      </w:r>
      <w:r>
        <w:rPr>
          <w:i/>
          <w:iCs/>
        </w:rPr>
        <w:t>Artificial Intelligence</w:t>
      </w:r>
      <w:r>
        <w:t xml:space="preserve"> dan Arsitektur </w:t>
      </w:r>
      <w:r>
        <w:rPr>
          <w:i/>
          <w:iCs/>
        </w:rPr>
        <w:t>Transformer</w:t>
      </w:r>
      <w:bookmarkEnd w:id="25"/>
    </w:p>
    <w:p w14:paraId="6232D429">
      <w:pPr>
        <w:pStyle w:val="44"/>
        <w:rPr>
          <w:i/>
        </w:rPr>
      </w:pPr>
      <w:r>
        <w:t xml:space="preserve">a) Konsep Dasar </w:t>
      </w:r>
      <w:r>
        <w:rPr>
          <w:i/>
        </w:rPr>
        <w:t>Artificial Intelligence</w:t>
      </w:r>
    </w:p>
    <w:p w14:paraId="5302170A">
      <w:pPr>
        <w:spacing w:after="0"/>
        <w:ind w:left="284" w:firstLine="720"/>
        <w:rPr>
          <w:lang w:val="en-US"/>
        </w:rPr>
      </w:pPr>
      <w:r>
        <w:rPr>
          <w:bCs/>
          <w:i/>
        </w:rPr>
        <w:t>Artificial Intelligence</w:t>
      </w:r>
      <w:r>
        <w:rPr>
          <w:bCs/>
        </w:rPr>
        <w:t xml:space="preserve"> (AI)</w:t>
      </w:r>
      <w:r>
        <w:t xml:space="preserve"> didefinisikan sebagai ranah komputasi luas yang bertujuan mereplikasi kemampuan kognitif manusia</w:t>
      </w:r>
      <w:r>
        <w:rPr>
          <w:lang w:val="en-US"/>
        </w:rPr>
        <w:t xml:space="preserve"> (layaknya </w:t>
      </w:r>
      <w:r>
        <w:t>perencanaan dan pengambilan keputusan</w:t>
      </w:r>
      <w:r>
        <w:rPr>
          <w:lang w:val="en-US"/>
        </w:rPr>
        <w:t xml:space="preserve">) </w:t>
      </w:r>
      <w:r>
        <w:t xml:space="preserve">ke dalam sistem buatan. </w:t>
      </w:r>
      <w:r>
        <w:rPr>
          <w:lang w:val="en-US"/>
        </w:rPr>
        <w:t>Sub-bidang utama AI adalah</w:t>
      </w:r>
      <w:r>
        <w:t xml:space="preserve"> </w:t>
      </w:r>
      <w:r>
        <w:rPr>
          <w:bCs/>
          <w:i/>
        </w:rPr>
        <w:t>Machine Learning</w:t>
      </w:r>
      <w:r>
        <w:rPr>
          <w:bCs/>
        </w:rPr>
        <w:t xml:space="preserve"> (ML)</w:t>
      </w:r>
      <w:r>
        <w:rPr>
          <w:lang w:val="en-US"/>
        </w:rPr>
        <w:t>, ML mengubah</w:t>
      </w:r>
      <w:r>
        <w:t xml:space="preserve"> konsep tersebut menjadi metode praktis di mana komputer tidak lagi diprogram secara</w:t>
      </w:r>
      <w:r>
        <w:rPr>
          <w:lang w:val="en-US"/>
        </w:rPr>
        <w:t xml:space="preserve"> manual, </w:t>
      </w:r>
      <w:r>
        <w:t xml:space="preserve">melainkan dilatih untuk belajar dari pengalaman dan analisis data guna memprediksi </w:t>
      </w:r>
      <w:r>
        <w:rPr>
          <w:lang w:val="en-US"/>
        </w:rPr>
        <w:t xml:space="preserve">sesuai ke butuhan. </w:t>
      </w:r>
      <w:r>
        <w:t xml:space="preserve">Evolusi lebih lanjut dari proses ini melahirkan </w:t>
      </w:r>
      <w:r>
        <w:rPr>
          <w:bCs/>
          <w:i/>
        </w:rPr>
        <w:t>Deep Learning</w:t>
      </w:r>
      <w:r>
        <w:rPr>
          <w:bCs/>
        </w:rPr>
        <w:t xml:space="preserve"> (DL)</w:t>
      </w:r>
      <w:r>
        <w:t xml:space="preserve">, sebuah pendekatan spesifik yang mengadopsi arsitektur biologis otak melalui </w:t>
      </w:r>
      <w:r>
        <w:rPr>
          <w:lang w:val="en-US"/>
        </w:rPr>
        <w:t>j</w:t>
      </w:r>
      <w:r>
        <w:t xml:space="preserve">aringan </w:t>
      </w:r>
      <w:r>
        <w:rPr>
          <w:lang w:val="en-US"/>
        </w:rPr>
        <w:t>s</w:t>
      </w:r>
      <w:r>
        <w:t xml:space="preserve">araf </w:t>
      </w:r>
      <w:r>
        <w:rPr>
          <w:lang w:val="en-US"/>
        </w:rPr>
        <w:t>t</w:t>
      </w:r>
      <w:r>
        <w:t>iruan. Dengan struktur yang memiliki banyak lapisan unit komputasi, DL mampu menangani fungsi kompleks untuk mengidentifikasi pola data secara mendalam</w:t>
      </w:r>
      <w:r>
        <w:rPr>
          <w:lang w:val="en-US"/>
        </w:rPr>
        <w:t>. DL adalah</w:t>
      </w:r>
      <w:r>
        <w:t xml:space="preserve"> komponen paling vital dalam akselerasi teknologi AI modern</w:t>
      </w:r>
      <w:r>
        <w:rPr>
          <w:lang w:val="en-US"/>
        </w:rPr>
        <w:t xml:space="preserve"> </w:t>
      </w:r>
      <w:r>
        <w:rPr>
          <w:lang w:val="en-US"/>
        </w:rPr>
        <w:fldChar w:fldCharType="begin" w:fldLock="1"/>
      </w:r>
      <w:r>
        <w:rPr>
          <w:lang w:val="en-US"/>
        </w:rPr>
        <w:instrText xml:space="preserve">ADDIN CSL_CITATION {"citationItems":[{"id":"ITEM-1","itemData":{"author":[{"dropping-particle":"","family":"Sinambela","given":"Marzuki","non-dropping-particle":"","parse-names":false,"suffix":""},{"dropping-particle":"","family":"Simarmata","given":"Janner","non-dropping-particle":"","parse-names":false,"suffix":""},{"dropping-particle":"","family":"Sudirman","given":"Sudirman","non-dropping-particle":"","parse-names":false,"suffix":""},{"dropping-particle":"","family":"Suryani","given":"Suryani","non-dropping-particle":"","parse-names":false,"suffix":""},{"dropping-particle":"","family":"Warni","given":"Elly","non-dropping-particle":"","parse-names":false,"suffix":""},{"dropping-particle":"","family":"Erna","given":"Angdy","non-dropping-particle":"","parse-names":false,"suffix":""},{"dropping-particle":"","family":"Ramadhanin","given":"Fanny","non-dropping-particle":"","parse-names":false,"suffix":""},{"dropping-particle":"","family":"Hardiyanti","given":"Siska Aprilia","non-dropping-particle":"","parse-names":false,"suffix":""},{"dropping-particle":"","family":"Satria","given":"Andy","non-dropping-particle":"","parse-names":false,"suffix":""},{"dropping-particle":"","family":"Yuliansyah","given":"Harry","non-dropping-particle":"","parse-names":false,"suffix":""},{"dropping-particle":"","family":"others","given":"","non-dropping-particle":"","parse-names":false,"suffix":""}],"id":"ITEM-1","issued":{"date-parts":[["2024"]]},"publisher":"Yayasan Kita Menulis","title":"Deep Learning: Konsep dan Aplikasi","type":"book"},"uris":["http://www.mendeley.com/documents/?uuid=54cc4b97-1abd-4731-9109-1178fc3ea117"]}],"mendeley":{"formattedCitation":"(Sinambela dkk., 2024)","manualFormatting":"(Sinambela dkk., 2024)","plainTextFormattedCitation":"(Sinambela dkk., 2024)","previouslyFormattedCitation":"(Sinambela &lt;i&gt;et al.&lt;/i&gt;, 2024)"},"properties":{"noteIndex":0},"schema":"https://github.com/citation-style-language/schema/raw/master/csl-citation.json"}</w:instrText>
      </w:r>
      <w:r>
        <w:rPr>
          <w:lang w:val="en-US"/>
        </w:rPr>
        <w:fldChar w:fldCharType="separate"/>
      </w:r>
      <w:r>
        <w:rPr>
          <w:lang w:val="en-US"/>
        </w:rPr>
        <w:t>(Sinambela dkk., 2024)</w:t>
      </w:r>
      <w:r>
        <w:rPr>
          <w:lang w:val="en-US"/>
        </w:rPr>
        <w:fldChar w:fldCharType="end"/>
      </w:r>
      <w:r>
        <w:t>.</w:t>
      </w:r>
    </w:p>
    <w:p w14:paraId="123AB4ED">
      <w:pPr>
        <w:pStyle w:val="44"/>
        <w:rPr>
          <w:i/>
        </w:rPr>
      </w:pPr>
      <w:r>
        <w:t xml:space="preserve">b) Model </w:t>
      </w:r>
      <w:r>
        <w:rPr>
          <w:i/>
        </w:rPr>
        <w:t>Transformer</w:t>
      </w:r>
    </w:p>
    <w:p w14:paraId="713B96DA">
      <w:pPr>
        <w:spacing w:after="0"/>
        <w:ind w:left="360" w:firstLine="633"/>
        <w:rPr>
          <w:rFonts w:eastAsia="Times New Roman" w:cs="Times New Roman"/>
          <w:szCs w:val="24"/>
          <w:lang w:val="en-US"/>
        </w:rPr>
      </w:pPr>
      <w:r>
        <w:rPr>
          <w:rFonts w:eastAsia="Times New Roman" w:cs="Times New Roman"/>
          <w:i/>
          <w:szCs w:val="24"/>
          <w:lang w:val="en-US"/>
        </w:rPr>
        <w:t>Transformer</w:t>
      </w:r>
      <w:r>
        <w:rPr>
          <w:rFonts w:eastAsia="Times New Roman" w:cs="Times New Roman"/>
          <w:szCs w:val="24"/>
          <w:lang w:val="en-US"/>
        </w:rPr>
        <w:t xml:space="preserve"> diperkenalkan lewat </w:t>
      </w:r>
      <w:r>
        <w:rPr>
          <w:rFonts w:eastAsia="Times New Roman" w:cs="Times New Roman"/>
          <w:i/>
          <w:szCs w:val="24"/>
          <w:lang w:val="en-US"/>
        </w:rPr>
        <w:t>paper</w:t>
      </w:r>
      <w:r>
        <w:rPr>
          <w:rFonts w:eastAsia="Times New Roman" w:cs="Times New Roman"/>
          <w:szCs w:val="24"/>
          <w:lang w:val="en-US"/>
        </w:rPr>
        <w:t xml:space="preserve"> fenomenal berjudul "Attention Is All You Need", sebuah penemuan anomali besar dalam DL dengan meninggalkan mekanisme rekurensi khas RNN atau LSTM demi efisiensi pemrosesan paralel pada seluruh deret waktu. Secara struktural, model ini mengandalkan tumpukan </w:t>
      </w:r>
      <w:r>
        <w:rPr>
          <w:rFonts w:eastAsia="Times New Roman" w:cs="Times New Roman"/>
          <w:i/>
          <w:szCs w:val="24"/>
          <w:lang w:val="en-US"/>
        </w:rPr>
        <w:t>Encoder</w:t>
      </w:r>
      <w:r>
        <w:rPr>
          <w:rFonts w:eastAsia="Times New Roman" w:cs="Times New Roman"/>
          <w:szCs w:val="24"/>
          <w:lang w:val="en-US"/>
        </w:rPr>
        <w:t xml:space="preserve"> untuk mengekstraksi fitur dan </w:t>
      </w:r>
      <w:r>
        <w:rPr>
          <w:rFonts w:eastAsia="Times New Roman" w:cs="Times New Roman"/>
          <w:i/>
          <w:szCs w:val="24"/>
          <w:lang w:val="en-US"/>
        </w:rPr>
        <w:t>Decoder</w:t>
      </w:r>
      <w:r>
        <w:rPr>
          <w:rFonts w:eastAsia="Times New Roman" w:cs="Times New Roman"/>
          <w:szCs w:val="24"/>
          <w:lang w:val="en-US"/>
        </w:rPr>
        <w:t xml:space="preserve"> untuk sintesis output, di mana keduanya dihubungkan oleh mekanisme </w:t>
      </w:r>
      <w:r>
        <w:rPr>
          <w:rFonts w:eastAsia="Times New Roman" w:cs="Times New Roman"/>
          <w:i/>
          <w:szCs w:val="24"/>
          <w:lang w:val="en-US"/>
        </w:rPr>
        <w:t>Multi-Head Self-Attention</w:t>
      </w:r>
      <w:r>
        <w:rPr>
          <w:rFonts w:eastAsia="Times New Roman" w:cs="Times New Roman"/>
          <w:szCs w:val="24"/>
          <w:lang w:val="en-US"/>
        </w:rPr>
        <w:t xml:space="preserve">. Komponen ini memungkinkan model memetakan dependensi antar-elemen tanpa terikat jarak posisi, sementara </w:t>
      </w:r>
      <w:r>
        <w:rPr>
          <w:rFonts w:eastAsia="Times New Roman" w:cs="Times New Roman"/>
          <w:i/>
          <w:szCs w:val="24"/>
          <w:lang w:val="en-US"/>
        </w:rPr>
        <w:t>Positional Encoding</w:t>
      </w:r>
      <w:r>
        <w:rPr>
          <w:rFonts w:eastAsia="Times New Roman" w:cs="Times New Roman"/>
          <w:szCs w:val="24"/>
          <w:lang w:val="en-US"/>
        </w:rPr>
        <w:t xml:space="preserve"> disematkan untuk tetap mempertahankan informasi urutan data yang hilang akibat absennya proses langkah-demi-langkah. Melalui integrasi ini, Transformer mampu menangkap konteks global secara lebih presisi dan efisien dibandingkan arsitektur sekuensial konvensional </w:t>
      </w:r>
      <w:r>
        <w:rPr>
          <w:rFonts w:eastAsia="Times New Roman" w:cs="Times New Roman"/>
          <w:bCs/>
          <w:szCs w:val="24"/>
          <w:lang w:val="en-US"/>
        </w:rPr>
        <w:fldChar w:fldCharType="begin" w:fldLock="1"/>
      </w:r>
      <w:r>
        <w:rPr>
          <w:rFonts w:eastAsia="Times New Roman" w:cs="Times New Roman"/>
          <w:bCs/>
          <w:szCs w:val="24"/>
          <w:lang w:val="en-US"/>
        </w:rPr>
        <w:instrText xml:space="preserve">ADDIN CSL_CITATION {"citationItems":[{"id":"ITEM-1","itemData":{"DOI":"10.48550/arxiv.1706.03762","author":[{"dropping-particle":"","family":"Vaswani","given":"Ashish","non-dropping-particle":"","parse-names":false,"suffix":""},{"dropping-particle":"","family":"Shazeer","given":"Noam","non-dropping-particle":"","parse-names":false,"suffix":""},{"dropping-particle":"","family":"Parmar","given":"Niki","non-dropping-particle":"","parse-names":false,"suffix":""},{"dropping-particle":"","family":"Uszkoreit","given":"Jakob","non-dropping-particle":"","parse-names":false,"suffix":""},{"dropping-particle":"","family":"Jones","given":"Llion","non-dropping-particle":"","parse-names":false,"suffix":""},{"dropping-particle":"","family":"Gomez","given":"Aidan N","non-dropping-particle":"","parse-names":false,"suffix":""},{"dropping-particle":"","family":"Kaiser","given":"Łukasz","non-dropping-particle":"","parse-names":false,"suffix":""},{"dropping-particle":"","family":"Polosukhin","given":"Illia","non-dropping-particle":"","parse-names":false,"suffix":""}],"id":"ITEM-1","issued":{"date-parts":[["2017"]]},"title":"Attention Is All You Need","type":"article-journal"},"uris":["http://www.mendeley.com/documents/?uuid=858eda02-8ae4-4465-9d60-a2d1313a91a7"]}],"mendeley":{"formattedCitation":"(Vaswani dkk., 2017)","manualFormatting":"(Vaswani dkk., 2017)","plainTextFormattedCitation":"(Vaswani dkk., 2017)","previouslyFormattedCitation":"(Vaswani &lt;i&gt;et al.&lt;/i&gt;, 2017)"},"properties":{"noteIndex":0},"schema":"https://github.com/citation-style-language/schema/raw/master/csl-citation.json"}</w:instrText>
      </w:r>
      <w:r>
        <w:rPr>
          <w:rFonts w:eastAsia="Times New Roman" w:cs="Times New Roman"/>
          <w:bCs/>
          <w:szCs w:val="24"/>
          <w:lang w:val="en-US"/>
        </w:rPr>
        <w:fldChar w:fldCharType="separate"/>
      </w:r>
      <w:r>
        <w:rPr>
          <w:rFonts w:eastAsia="Times New Roman" w:cs="Times New Roman"/>
          <w:bCs/>
          <w:szCs w:val="24"/>
          <w:lang w:val="en-US"/>
        </w:rPr>
        <w:t>(Vaswani dkk., 2017)</w:t>
      </w:r>
      <w:r>
        <w:rPr>
          <w:rFonts w:eastAsia="Times New Roman" w:cs="Times New Roman"/>
          <w:bCs/>
          <w:szCs w:val="24"/>
          <w:lang w:val="en-US"/>
        </w:rPr>
        <w:fldChar w:fldCharType="end"/>
      </w:r>
      <w:r>
        <w:rPr>
          <w:rFonts w:eastAsia="Times New Roman" w:cs="Times New Roman"/>
          <w:szCs w:val="24"/>
          <w:lang w:val="en-US"/>
        </w:rPr>
        <w:t xml:space="preserve">. Arsitektur </w:t>
      </w:r>
      <w:r>
        <w:rPr>
          <w:rFonts w:eastAsia="Times New Roman" w:cs="Times New Roman"/>
          <w:i/>
          <w:szCs w:val="24"/>
          <w:lang w:val="en-US"/>
        </w:rPr>
        <w:t xml:space="preserve">Transformer </w:t>
      </w:r>
      <w:r>
        <w:rPr>
          <w:rFonts w:eastAsia="Times New Roman" w:cs="Times New Roman"/>
          <w:szCs w:val="24"/>
          <w:lang w:val="en-US"/>
        </w:rPr>
        <w:t>digambarkan pada Gambar 2. 1.</w:t>
      </w:r>
    </w:p>
    <w:p w14:paraId="16171039"/>
    <w:p w14:paraId="0DD62B42">
      <w:pPr>
        <w:keepNext/>
        <w:jc w:val="center"/>
      </w:pPr>
      <w:r>
        <w:drawing>
          <wp:inline distT="0" distB="0" distL="0" distR="0">
            <wp:extent cx="3318510" cy="4198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34584" cy="4218340"/>
                    </a:xfrm>
                    <a:prstGeom prst="rect">
                      <a:avLst/>
                    </a:prstGeom>
                    <a:ln>
                      <a:noFill/>
                    </a:ln>
                  </pic:spPr>
                </pic:pic>
              </a:graphicData>
            </a:graphic>
          </wp:inline>
        </w:drawing>
      </w:r>
    </w:p>
    <w:p w14:paraId="6C464091">
      <w:pPr>
        <w:pStyle w:val="11"/>
        <w:keepNext/>
        <w:spacing w:after="0" w:line="276" w:lineRule="auto"/>
        <w:jc w:val="center"/>
        <w:rPr>
          <w:b/>
          <w:i w:val="0"/>
          <w:color w:val="auto"/>
          <w:sz w:val="24"/>
        </w:rPr>
      </w:pPr>
      <w:bookmarkStart w:id="26" w:name="_Toc236077365"/>
      <w:r>
        <w:rPr>
          <w:b/>
          <w:i w:val="0"/>
          <w:color w:val="auto"/>
          <w:sz w:val="24"/>
        </w:rPr>
        <w:t>Gambar 2.</w:t>
      </w:r>
      <w:r>
        <w:rPr>
          <w:b/>
          <w:i w:val="0"/>
          <w:color w:val="auto"/>
          <w:sz w:val="24"/>
          <w:lang w:val="en-US"/>
        </w:rPr>
        <w:t xml:space="preserve">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rPr>
        <w:t xml:space="preserve"> Arsitektur </w:t>
      </w:r>
      <w:r>
        <w:rPr>
          <w:b/>
          <w:color w:val="auto"/>
          <w:sz w:val="24"/>
        </w:rPr>
        <w:t>Transformer</w:t>
      </w:r>
      <w:bookmarkEnd w:id="26"/>
    </w:p>
    <w:p w14:paraId="5E27E05A">
      <w:pPr>
        <w:pStyle w:val="11"/>
        <w:spacing w:after="0" w:line="276" w:lineRule="auto"/>
        <w:jc w:val="center"/>
        <w:rPr>
          <w:i w:val="0"/>
          <w:color w:val="auto"/>
          <w:sz w:val="24"/>
          <w:lang w:val="en-US"/>
        </w:rPr>
      </w:pPr>
      <w:r>
        <w:rPr>
          <w:i w:val="0"/>
          <w:color w:val="auto"/>
          <w:sz w:val="24"/>
          <w:lang w:val="en-US"/>
        </w:rPr>
        <w:t>Sumber: Vaswani, dkk. 2017</w:t>
      </w:r>
    </w:p>
    <w:p w14:paraId="3AD6C944">
      <w:pPr>
        <w:pStyle w:val="44"/>
      </w:pPr>
      <w:r>
        <w:t xml:space="preserve">c) </w:t>
      </w:r>
      <w:r>
        <w:rPr>
          <w:i/>
        </w:rPr>
        <w:t>Self-Attention Mechanism</w:t>
      </w:r>
    </w:p>
    <w:p w14:paraId="5CF4171C">
      <w:pPr>
        <w:spacing w:after="0"/>
        <w:ind w:left="360" w:firstLine="633"/>
      </w:pPr>
      <w:r>
        <w:t xml:space="preserve">Mekanisme </w:t>
      </w:r>
      <w:r>
        <w:rPr>
          <w:i/>
          <w:iCs/>
        </w:rPr>
        <w:t>self-attention</w:t>
      </w:r>
      <w:r>
        <w:t xml:space="preserve"> adalah jantung dari arsitektur </w:t>
      </w:r>
      <w:r>
        <w:rPr>
          <w:i/>
        </w:rPr>
        <w:t>Transformer</w:t>
      </w:r>
      <w:r>
        <w:t xml:space="preserve"> yang membuat model bisa mempelajari hubungan antar data dengan sangat luwes. Dalam prediksi curah hujan, kemampuan ini vital karena model jadi bisa menangkap pola waktu yang rumit, bahkan untuk kejadian yang jarak waktunya berjauhan sekalipun.</w:t>
      </w:r>
      <w:r>
        <w:rPr>
          <w:lang w:val="en-US"/>
        </w:rPr>
        <w:t xml:space="preserve"> M</w:t>
      </w:r>
      <w:r>
        <w:t xml:space="preserve">ekanisme </w:t>
      </w:r>
      <w:r>
        <w:rPr>
          <w:i/>
        </w:rPr>
        <w:t>self-attention</w:t>
      </w:r>
      <w:r>
        <w:t xml:space="preserve"> didefinisikan sebagai</w:t>
      </w:r>
      <w:r>
        <w:rPr>
          <w:lang w:val="en-US"/>
        </w:rPr>
        <w:t xml:space="preserve"> berikut</w:t>
      </w:r>
      <w:r>
        <w:t>:</w:t>
      </w:r>
    </w:p>
    <w:p w14:paraId="1B276C1C">
      <w:pPr>
        <w:spacing w:after="0"/>
        <w:ind w:left="360"/>
      </w:pPr>
      <m:oMathPara>
        <m:oMath>
          <m:eqArr>
            <m:eqArrPr>
              <m:maxDist m:val="1"/>
              <m:ctrlPr>
                <w:rPr>
                  <w:rFonts w:ascii="Cambria Math" w:hAnsi="Cambria Math"/>
                  <w:i/>
                </w:rPr>
              </m:ctrlPr>
            </m:eqArrPr>
            <m:e>
              <m:r>
                <m:rPr/>
                <w:rPr>
                  <w:rFonts w:ascii="Cambria Math" w:hAnsi="Cambria Math"/>
                </w:rPr>
                <m:t xml:space="preserve">Attention </m:t>
              </m:r>
              <m:d>
                <m:dPr>
                  <m:ctrlPr>
                    <w:rPr>
                      <w:rFonts w:ascii="Cambria Math" w:hAnsi="Cambria Math"/>
                      <w:i/>
                    </w:rPr>
                  </m:ctrlPr>
                </m:dPr>
                <m:e>
                  <m:r>
                    <m:rPr/>
                    <w:rPr>
                      <w:rFonts w:ascii="Cambria Math" w:hAnsi="Cambria Math"/>
                    </w:rPr>
                    <m:t>Q,K,V</m:t>
                  </m:r>
                  <m:ctrlPr>
                    <w:rPr>
                      <w:rFonts w:ascii="Cambria Math" w:hAnsi="Cambria Math"/>
                      <w:i/>
                    </w:rPr>
                  </m:ctrlPr>
                </m:e>
              </m:d>
              <m:r>
                <m:rPr/>
                <w:rPr>
                  <w:rFonts w:ascii="Cambria Math" w:hAnsi="Cambria Math"/>
                </w:rPr>
                <m:t xml:space="preserve">=softmax </m:t>
              </m:r>
              <m:d>
                <m:dPr>
                  <m:ctrlPr>
                    <w:rPr>
                      <w:rFonts w:ascii="Cambria Math" w:hAnsi="Cambria Math"/>
                      <w:i/>
                    </w:rPr>
                  </m:ctrlPr>
                </m:dPr>
                <m:e>
                  <m:f>
                    <m:fPr>
                      <m:ctrlPr>
                        <w:rPr>
                          <w:rFonts w:ascii="Cambria Math" w:hAnsi="Cambria Math"/>
                          <w:i/>
                        </w:rPr>
                      </m:ctrlPr>
                    </m:fPr>
                    <m:num>
                      <m:r>
                        <m:rPr/>
                        <w:rPr>
                          <w:rFonts w:ascii="Cambria Math" w:hAnsi="Cambria Math"/>
                        </w:rPr>
                        <m:t>Q</m:t>
                      </m:r>
                      <m:sSup>
                        <m:sSupPr>
                          <m:ctrlPr>
                            <w:rPr>
                              <w:rFonts w:ascii="Cambria Math" w:hAnsi="Cambria Math"/>
                              <w:i/>
                            </w:rPr>
                          </m:ctrlPr>
                        </m:sSupPr>
                        <m:e>
                          <m:r>
                            <m:rPr/>
                            <w:rPr>
                              <w:rFonts w:ascii="Cambria Math" w:hAnsi="Cambria Math"/>
                            </w:rPr>
                            <m:t>K</m:t>
                          </m:r>
                          <m:ctrlPr>
                            <w:rPr>
                              <w:rFonts w:ascii="Cambria Math" w:hAnsi="Cambria Math"/>
                              <w:i/>
                            </w:rPr>
                          </m:ctrlPr>
                        </m:e>
                        <m:sup>
                          <m:r>
                            <m:rPr/>
                            <w:rPr>
                              <w:rFonts w:ascii="Cambria Math" w:hAnsi="Cambria Math"/>
                            </w:rPr>
                            <m:t>T</m:t>
                          </m:r>
                          <m:ctrlPr>
                            <w:rPr>
                              <w:rFonts w:ascii="Cambria Math" w:hAnsi="Cambria Math"/>
                              <w:i/>
                            </w:rPr>
                          </m:ctrlPr>
                        </m:sup>
                      </m:sSup>
                      <m:ctrlPr>
                        <w:rPr>
                          <w:rFonts w:ascii="Cambria Math" w:hAnsi="Cambria Math"/>
                          <w:i/>
                        </w:rPr>
                      </m:ctrlPr>
                    </m:num>
                    <m:den>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k</m:t>
                              </m:r>
                              <m:ctrlPr>
                                <w:rPr>
                                  <w:rFonts w:ascii="Cambria Math" w:hAnsi="Cambria Math"/>
                                  <w:i/>
                                </w:rPr>
                              </m:ctrlPr>
                            </m:sub>
                          </m:sSub>
                          <m:ctrlPr>
                            <w:rPr>
                              <w:rFonts w:ascii="Cambria Math" w:hAnsi="Cambria Math"/>
                              <w:i/>
                            </w:rPr>
                          </m:ctrlPr>
                        </m:e>
                      </m:rad>
                      <m:ctrlPr>
                        <w:rPr>
                          <w:rFonts w:ascii="Cambria Math" w:hAnsi="Cambria Math"/>
                          <w:i/>
                        </w:rPr>
                      </m:ctrlPr>
                    </m:den>
                  </m:f>
                  <m:ctrlPr>
                    <w:rPr>
                      <w:rFonts w:ascii="Cambria Math" w:hAnsi="Cambria Math"/>
                      <w:i/>
                    </w:rPr>
                  </m:ctrlPr>
                </m:e>
              </m:d>
              <m:r>
                <m:rPr/>
                <w:rPr>
                  <w:rFonts w:ascii="Cambria Math" w:hAnsi="Cambria Math"/>
                </w:rPr>
                <m:t xml:space="preserve"> V #</m:t>
              </m:r>
              <m:d>
                <m:dPr>
                  <m:ctrlPr>
                    <w:rPr>
                      <w:rFonts w:ascii="Cambria Math" w:hAnsi="Cambria Math"/>
                      <w:i/>
                    </w:rPr>
                  </m:ctrlPr>
                </m:dPr>
                <m:e>
                  <m:r>
                    <m:rPr/>
                    <w:rPr>
                      <w:rFonts w:ascii="Cambria Math" w:hAnsi="Cambria Math"/>
                    </w:rPr>
                    <m:t>2.4</m:t>
                  </m:r>
                  <m:ctrlPr>
                    <w:rPr>
                      <w:rFonts w:ascii="Cambria Math" w:hAnsi="Cambria Math"/>
                      <w:i/>
                    </w:rPr>
                  </m:ctrlPr>
                </m:e>
              </m:d>
              <m:ctrlPr>
                <w:rPr>
                  <w:rFonts w:ascii="Cambria Math" w:hAnsi="Cambria Math"/>
                  <w:i/>
                </w:rPr>
              </m:ctrlPr>
            </m:e>
          </m:eqArr>
        </m:oMath>
      </m:oMathPara>
    </w:p>
    <w:p w14:paraId="526B26F7">
      <w:pPr>
        <w:spacing w:after="0"/>
        <w:ind w:left="360" w:firstLine="633"/>
      </w:pPr>
      <w:r>
        <w:t xml:space="preserve">Proses ini bekerja layaknya sistem pencarian cerdas yang melibatkan tiga komponen matriks: </w:t>
      </w:r>
      <w:r>
        <w:rPr>
          <w:i/>
        </w:rPr>
        <w:t xml:space="preserve">Query </w:t>
      </w:r>
      <m:oMath>
        <m:r>
          <m:rPr/>
          <w:rPr>
            <w:rFonts w:ascii="Cambria Math" w:hAnsi="Cambria Math"/>
          </w:rPr>
          <m:t>(Q</m:t>
        </m:r>
      </m:oMath>
      <w:r>
        <w:t xml:space="preserve">) yang bertindak sebagai pencari konteks saat ini, </w:t>
      </w:r>
      <w:r>
        <w:rPr>
          <w:i/>
        </w:rPr>
        <w:t>Key</w:t>
      </w:r>
      <w:r>
        <w:t xml:space="preserve"> (</w:t>
      </w:r>
      <m:oMath>
        <m:r>
          <m:rPr/>
          <w:rPr>
            <w:rFonts w:ascii="Cambria Math" w:hAnsi="Cambria Math"/>
          </w:rPr>
          <m:t>K</m:t>
        </m:r>
      </m:oMath>
      <w:r>
        <w:t xml:space="preserve">) sebagai penanda identitas </w:t>
      </w:r>
      <w:r>
        <w:rPr>
          <w:lang w:val="en-US"/>
        </w:rPr>
        <w:t>waktu</w:t>
      </w:r>
      <w:r>
        <w:t xml:space="preserve">, dan </w:t>
      </w:r>
      <w:r>
        <w:rPr>
          <w:i/>
        </w:rPr>
        <w:t>Value</w:t>
      </w:r>
      <w:r>
        <w:t xml:space="preserve"> (</w:t>
      </w:r>
      <m:oMath>
        <m:r>
          <m:rPr/>
          <w:rPr>
            <w:rFonts w:ascii="Cambria Math" w:hAnsi="Cambria Math"/>
          </w:rPr>
          <m:t>V</m:t>
        </m:r>
      </m:oMath>
      <w:r>
        <w:t xml:space="preserve">) yang memuat informasi </w:t>
      </w:r>
      <w:r>
        <w:rPr>
          <w:lang w:val="en-US"/>
        </w:rPr>
        <w:t>data</w:t>
      </w:r>
      <w:r>
        <w:t xml:space="preserve">. Dalam operasinya, </w:t>
      </w:r>
      <m:oMath>
        <m:r>
          <m:rPr/>
          <w:rPr>
            <w:rFonts w:ascii="Cambria Math" w:hAnsi="Cambria Math"/>
          </w:rPr>
          <m:t>Q</m:t>
        </m:r>
      </m:oMath>
      <w:r>
        <w:t xml:space="preserve"> akan mencocokkan diri dengan </w:t>
      </w:r>
      <m:oMath>
        <m:r>
          <m:rPr/>
          <w:rPr>
            <w:rFonts w:ascii="Cambria Math" w:hAnsi="Cambria Math"/>
          </w:rPr>
          <m:t>K</m:t>
        </m:r>
      </m:oMath>
      <w:r>
        <w:t xml:space="preserve"> untuk mengukur tingkat relevansi, di mana hasil interaksi ini kemudian dinormalisasi menggunakan faktor skala </w:t>
      </w:r>
      <m:oMath>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k</m:t>
                </m:r>
                <m:ctrlPr>
                  <w:rPr>
                    <w:rFonts w:ascii="Cambria Math" w:hAnsi="Cambria Math"/>
                    <w:i/>
                  </w:rPr>
                </m:ctrlPr>
              </m:sub>
            </m:sSub>
            <m:ctrlPr>
              <w:rPr>
                <w:rFonts w:ascii="Cambria Math" w:hAnsi="Cambria Math"/>
                <w:i/>
              </w:rPr>
            </m:ctrlPr>
          </m:e>
        </m:rad>
      </m:oMath>
      <w:r>
        <w:t xml:space="preserve"> guna menjaga kestabilan gradien agar perhitungan tidak menjadi liar. Skor relevansi tersebut lantas diubah menjadi bobot probabilitas melalui fungsi </w:t>
      </w:r>
      <w:r>
        <w:rPr>
          <w:i/>
        </w:rPr>
        <w:t>softmax</w:t>
      </w:r>
      <w:r>
        <w:t>, yang secara efektif memberi tahu model bagian mana dari memori masa lalu yang harus diberikan "</w:t>
      </w:r>
      <w:r>
        <w:rPr>
          <w:i/>
          <w:lang w:val="en-US"/>
        </w:rPr>
        <w:t>attention</w:t>
      </w:r>
      <w:r>
        <w:t>" lebih</w:t>
      </w:r>
      <w:r>
        <w:rPr>
          <w:lang w:val="en-US"/>
        </w:rPr>
        <w:t xml:space="preserve">, </w:t>
      </w:r>
      <w:r>
        <w:t>apakah itu pola hujan kemarin atau badai bulan lalu</w:t>
      </w:r>
      <w:r>
        <w:rPr>
          <w:lang w:val="en-US"/>
        </w:rPr>
        <w:t xml:space="preserve">, </w:t>
      </w:r>
      <w:r>
        <w:t>sehingga prediksi yang dihasilkan didasarkan pada sinyal data yang paling signifikan, bukan sekadar urutan waktu semata</w:t>
      </w:r>
      <w:r>
        <w:rPr>
          <w:lang w:val="en-US"/>
        </w:rPr>
        <w:t xml:space="preserve"> </w:t>
      </w:r>
      <w:r>
        <w:fldChar w:fldCharType="begin" w:fldLock="1"/>
      </w:r>
      <w:r>
        <w:instrText xml:space="preserve">ADDIN CSL_CITATION {"citationItems":[{"id":"ITEM-1","itemData":{"DOI":"10.48550/arxiv.1706.03762","author":[{"dropping-particle":"","family":"Vaswani","given":"Ashish","non-dropping-particle":"","parse-names":false,"suffix":""},{"dropping-particle":"","family":"Shazeer","given":"Noam","non-dropping-particle":"","parse-names":false,"suffix":""},{"dropping-particle":"","family":"Parmar","given":"Niki","non-dropping-particle":"","parse-names":false,"suffix":""},{"dropping-particle":"","family":"Uszkoreit","given":"Jakob","non-dropping-particle":"","parse-names":false,"suffix":""},{"dropping-particle":"","family":"Jones","given":"Llion","non-dropping-particle":"","parse-names":false,"suffix":""},{"dropping-particle":"","family":"Gomez","given":"Aidan N","non-dropping-particle":"","parse-names":false,"suffix":""},{"dropping-particle":"","family":"Kaiser","given":"Łukasz","non-dropping-particle":"","parse-names":false,"suffix":""},{"dropping-particle":"","family":"Polosukhin","given":"Illia","non-dropping-particle":"","parse-names":false,"suffix":""}],"id":"ITEM-1","issued":{"date-parts":[["2017"]]},"title":"Attention Is All You Need","type":"article-journal"},"uris":["http://www.mendeley.com/documents/?uuid=858eda02-8ae4-4465-9d60-a2d1313a91a7"]}],"mendeley":{"formattedCitation":"(Vaswani dkk., 2017)","manualFormatting":"(Vaswani dkk., 2017)","plainTextFormattedCitation":"(Vaswani dkk., 2017)","previouslyFormattedCitation":"(Vaswani &lt;i&gt;et al.&lt;/i&gt;, 2017)"},"properties":{"noteIndex":0},"schema":"https://github.com/citation-style-language/schema/raw/master/csl-citation.json"}</w:instrText>
      </w:r>
      <w:r>
        <w:fldChar w:fldCharType="separate"/>
      </w:r>
      <w:r>
        <w:t>(Vaswani dkk., 2017)</w:t>
      </w:r>
      <w:r>
        <w:fldChar w:fldCharType="end"/>
      </w:r>
      <w:r>
        <w:t>.</w:t>
      </w:r>
    </w:p>
    <w:p w14:paraId="73C2C5CB">
      <w:pPr>
        <w:pStyle w:val="44"/>
      </w:pPr>
      <w:r>
        <w:t xml:space="preserve">d) </w:t>
      </w:r>
      <w:r>
        <w:rPr>
          <w:i/>
        </w:rPr>
        <w:t>Multi-Head Attention</w:t>
      </w:r>
    </w:p>
    <w:p w14:paraId="122AE473">
      <w:pPr>
        <w:spacing w:after="0"/>
        <w:ind w:left="360" w:firstLine="633"/>
      </w:pPr>
      <w:r>
        <w:t xml:space="preserve">Mekanisme </w:t>
      </w:r>
      <w:r>
        <w:rPr>
          <w:i/>
        </w:rPr>
        <w:t>multi-head attention</w:t>
      </w:r>
      <w:r>
        <w:t xml:space="preserve"> (MHA) merupakan pengembangan dari </w:t>
      </w:r>
      <w:r>
        <w:rPr>
          <w:i/>
        </w:rPr>
        <w:t>self-attention</w:t>
      </w:r>
      <w:r>
        <w:t xml:space="preserve"> yang dirancang untuk menangkap berbagai jenis ketergantungan</w:t>
      </w:r>
      <w:r>
        <w:rPr>
          <w:lang w:val="en-US"/>
        </w:rPr>
        <w:t xml:space="preserve"> </w:t>
      </w:r>
      <w:r>
        <w:t>dalam ruang representasi yang berbeda. MHA dirumuskan sebagai:</w:t>
      </w:r>
    </w:p>
    <w:p w14:paraId="128AD23E">
      <w:pPr>
        <w:spacing w:after="0"/>
      </w:pPr>
      <m:oMathPara>
        <m:oMath>
          <m:eqArr>
            <m:eqArrPr>
              <m:maxDist m:val="1"/>
              <m:ctrlPr>
                <w:rPr>
                  <w:rFonts w:ascii="Cambria Math" w:hAnsi="Cambria Math"/>
                  <w:i/>
                </w:rPr>
              </m:ctrlPr>
            </m:eqArrPr>
            <m:e>
              <m:r>
                <m:rPr/>
                <w:rPr>
                  <w:rFonts w:ascii="Cambria Math" w:hAnsi="Cambria Math"/>
                </w:rPr>
                <m:t>MHA</m:t>
              </m:r>
              <m:d>
                <m:dPr>
                  <m:ctrlPr>
                    <w:rPr>
                      <w:rFonts w:ascii="Cambria Math" w:hAnsi="Cambria Math"/>
                      <w:i/>
                    </w:rPr>
                  </m:ctrlPr>
                </m:dPr>
                <m:e>
                  <m:r>
                    <m:rPr/>
                    <w:rPr>
                      <w:rFonts w:ascii="Cambria Math" w:hAnsi="Cambria Math"/>
                    </w:rPr>
                    <m:t>Q,K,V</m:t>
                  </m:r>
                  <m:ctrlPr>
                    <w:rPr>
                      <w:rFonts w:ascii="Cambria Math" w:hAnsi="Cambria Math"/>
                      <w:i/>
                    </w:rPr>
                  </m:ctrlPr>
                </m:e>
              </m:d>
              <m:r>
                <m:rPr/>
                <w:rPr>
                  <w:rFonts w:ascii="Cambria Math" w:hAnsi="Cambria Math"/>
                </w:rPr>
                <m:t xml:space="preserve">=Concat </m:t>
              </m:r>
              <m:d>
                <m:dPr>
                  <m:ctrlPr>
                    <w:rPr>
                      <w:rFonts w:ascii="Cambria Math" w:hAnsi="Cambria Math"/>
                      <w:i/>
                    </w:rPr>
                  </m:ctrlPr>
                </m:dPr>
                <m:e>
                  <m:sSub>
                    <m:sSubPr>
                      <m:ctrlPr>
                        <w:rPr>
                          <w:rFonts w:ascii="Cambria Math" w:hAnsi="Cambria Math"/>
                          <w:i/>
                        </w:rPr>
                      </m:ctrlPr>
                    </m:sSubPr>
                    <m:e>
                      <m:r>
                        <m:rPr/>
                        <w:rPr>
                          <w:rFonts w:ascii="Cambria Math" w:hAnsi="Cambria Math"/>
                        </w:rPr>
                        <m:t>head</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 …,</m:t>
                  </m:r>
                  <m:sSub>
                    <m:sSubPr>
                      <m:ctrlPr>
                        <w:rPr>
                          <w:rFonts w:ascii="Cambria Math" w:hAnsi="Cambria Math"/>
                          <w:i/>
                        </w:rPr>
                      </m:ctrlPr>
                    </m:sSubPr>
                    <m:e>
                      <m:r>
                        <m:rPr/>
                        <w:rPr>
                          <w:rFonts w:ascii="Cambria Math" w:hAnsi="Cambria Math"/>
                        </w:rPr>
                        <m:t>head</m:t>
                      </m:r>
                      <m:ctrlPr>
                        <w:rPr>
                          <w:rFonts w:ascii="Cambria Math" w:hAnsi="Cambria Math"/>
                          <w:i/>
                        </w:rPr>
                      </m:ctrlPr>
                    </m:e>
                    <m:sub>
                      <m:r>
                        <m:rPr/>
                        <w:rPr>
                          <w:rFonts w:ascii="Cambria Math" w:hAnsi="Cambria Math"/>
                        </w:rPr>
                        <m:t>h</m:t>
                      </m:r>
                      <m:ctrlPr>
                        <w:rPr>
                          <w:rFonts w:ascii="Cambria Math" w:hAnsi="Cambria Math"/>
                          <w:i/>
                        </w:rPr>
                      </m:ctrlPr>
                    </m:sub>
                  </m:sSub>
                  <m:ctrlPr>
                    <w:rPr>
                      <w:rFonts w:ascii="Cambria Math" w:hAnsi="Cambria Math"/>
                      <w:i/>
                    </w:rPr>
                  </m:ctrlPr>
                </m:e>
              </m:d>
              <m:sSup>
                <m:sSupPr>
                  <m:ctrlPr>
                    <w:rPr>
                      <w:rFonts w:ascii="Cambria Math" w:hAnsi="Cambria Math"/>
                      <w:i/>
                    </w:rPr>
                  </m:ctrlPr>
                </m:sSupPr>
                <m:e>
                  <m:r>
                    <m:rPr/>
                    <w:rPr>
                      <w:rFonts w:ascii="Cambria Math" w:hAnsi="Cambria Math"/>
                    </w:rPr>
                    <m:t>W</m:t>
                  </m:r>
                  <m:ctrlPr>
                    <w:rPr>
                      <w:rFonts w:ascii="Cambria Math" w:hAnsi="Cambria Math"/>
                      <w:i/>
                    </w:rPr>
                  </m:ctrlPr>
                </m:e>
                <m:sup>
                  <m:r>
                    <m:rPr/>
                    <w:rPr>
                      <w:rFonts w:ascii="Cambria Math" w:hAnsi="Cambria Math"/>
                    </w:rPr>
                    <m:t>O</m:t>
                  </m:r>
                  <m:ctrlPr>
                    <w:rPr>
                      <w:rFonts w:ascii="Cambria Math" w:hAnsi="Cambria Math"/>
                      <w:i/>
                    </w:rPr>
                  </m:ctrlPr>
                </m:sup>
              </m:sSup>
              <m:r>
                <m:rPr/>
                <w:rPr>
                  <w:rFonts w:ascii="Cambria Math" w:hAnsi="Cambria Math"/>
                </w:rPr>
                <m:t>#</m:t>
              </m:r>
              <m:d>
                <m:dPr>
                  <m:ctrlPr>
                    <w:rPr>
                      <w:rFonts w:ascii="Cambria Math" w:hAnsi="Cambria Math"/>
                      <w:i/>
                    </w:rPr>
                  </m:ctrlPr>
                </m:dPr>
                <m:e>
                  <m:r>
                    <m:rPr/>
                    <w:rPr>
                      <w:rFonts w:ascii="Cambria Math" w:hAnsi="Cambria Math"/>
                    </w:rPr>
                    <m:t>2.5</m:t>
                  </m:r>
                  <m:ctrlPr>
                    <w:rPr>
                      <w:rFonts w:ascii="Cambria Math" w:hAnsi="Cambria Math"/>
                      <w:i/>
                    </w:rPr>
                  </m:ctrlPr>
                </m:e>
              </m:d>
              <m:ctrlPr>
                <w:rPr>
                  <w:rFonts w:ascii="Cambria Math" w:hAnsi="Cambria Math"/>
                  <w:i/>
                </w:rPr>
              </m:ctrlPr>
            </m:e>
          </m:eqArr>
        </m:oMath>
      </m:oMathPara>
    </w:p>
    <w:p w14:paraId="72B04C6B">
      <w:pPr>
        <w:spacing w:after="0"/>
        <w:ind w:firstLine="426"/>
      </w:pPr>
      <w:r>
        <w:rPr>
          <w:lang w:val="en-US"/>
        </w:rPr>
        <w:t>d</w:t>
      </w:r>
      <w:r>
        <w:t xml:space="preserve">engan setiap </w:t>
      </w:r>
      <w:r>
        <w:rPr>
          <w:i/>
        </w:rPr>
        <w:t xml:space="preserve">head </w:t>
      </w:r>
      <w:r>
        <w:t>didefinisikan sebagai:</w:t>
      </w:r>
    </w:p>
    <w:p w14:paraId="7070920A">
      <w:pPr>
        <w:spacing w:after="0"/>
      </w:pPr>
      <m:oMathPara>
        <m:oMath>
          <m:eqArr>
            <m:eqArrPr>
              <m:maxDist m:val="1"/>
              <m:ctrlPr>
                <w:rPr>
                  <w:rFonts w:ascii="Cambria Math" w:hAnsi="Cambria Math"/>
                  <w:i/>
                </w:rPr>
              </m:ctrlPr>
            </m:eqArrPr>
            <m:e>
              <m:sSub>
                <m:sSubPr>
                  <m:ctrlPr>
                    <w:rPr>
                      <w:rFonts w:ascii="Cambria Math" w:hAnsi="Cambria Math"/>
                      <w:i/>
                    </w:rPr>
                  </m:ctrlPr>
                </m:sSubPr>
                <m:e>
                  <m:r>
                    <m:rPr/>
                    <w:rPr>
                      <w:rFonts w:ascii="Cambria Math" w:hAnsi="Cambria Math"/>
                    </w:rPr>
                    <m:t>head</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 xml:space="preserve">=  Attention </m:t>
              </m:r>
              <m:d>
                <m:dPr>
                  <m:ctrlPr>
                    <w:rPr>
                      <w:rFonts w:ascii="Cambria Math" w:hAnsi="Cambria Math"/>
                      <w:i/>
                    </w:rPr>
                  </m:ctrlPr>
                </m:dPr>
                <m:e>
                  <m:r>
                    <m:rPr/>
                    <w:rPr>
                      <w:rFonts w:ascii="Cambria Math" w:hAnsi="Cambria Math"/>
                    </w:rPr>
                    <m:t>Q</m:t>
                  </m:r>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Q</m:t>
                      </m:r>
                      <m:ctrlPr>
                        <w:rPr>
                          <w:rFonts w:ascii="Cambria Math" w:hAnsi="Cambria Math"/>
                          <w:i/>
                        </w:rPr>
                      </m:ctrlPr>
                    </m:sup>
                  </m:sSubSup>
                  <m:r>
                    <m:rPr/>
                    <w:rPr>
                      <w:rFonts w:ascii="Cambria Math" w:hAnsi="Cambria Math"/>
                    </w:rPr>
                    <m:t>, K</m:t>
                  </m:r>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K</m:t>
                      </m:r>
                      <m:ctrlPr>
                        <w:rPr>
                          <w:rFonts w:ascii="Cambria Math" w:hAnsi="Cambria Math"/>
                          <w:i/>
                        </w:rPr>
                      </m:ctrlPr>
                    </m:sup>
                  </m:sSubSup>
                  <m:r>
                    <m:rPr/>
                    <w:rPr>
                      <w:rFonts w:ascii="Cambria Math" w:hAnsi="Cambria Math"/>
                    </w:rPr>
                    <m:t>,V</m:t>
                  </m:r>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V</m:t>
                      </m:r>
                      <m:ctrlPr>
                        <w:rPr>
                          <w:rFonts w:ascii="Cambria Math" w:hAnsi="Cambria Math"/>
                          <w:i/>
                        </w:rPr>
                      </m:ctrlPr>
                    </m:sup>
                  </m:sSubSup>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2.6</m:t>
                  </m:r>
                  <m:ctrlPr>
                    <w:rPr>
                      <w:rFonts w:ascii="Cambria Math" w:hAnsi="Cambria Math"/>
                      <w:i/>
                    </w:rPr>
                  </m:ctrlPr>
                </m:e>
              </m:d>
              <m:ctrlPr>
                <w:rPr>
                  <w:rFonts w:ascii="Cambria Math" w:hAnsi="Cambria Math"/>
                  <w:i/>
                </w:rPr>
              </m:ctrlPr>
            </m:e>
          </m:eqArr>
        </m:oMath>
      </m:oMathPara>
    </w:p>
    <w:p w14:paraId="299F7C80">
      <w:pPr>
        <w:spacing w:after="0"/>
        <w:ind w:left="360"/>
      </w:pPr>
      <w:r>
        <w:t xml:space="preserve">Dimana </w:t>
      </w:r>
      <w:r>
        <w:rPr>
          <w:i/>
        </w:rPr>
        <w:t xml:space="preserve">h </w:t>
      </w:r>
      <w:r>
        <w:t xml:space="preserve">menyatakan jumlah </w:t>
      </w:r>
      <w:r>
        <w:rPr>
          <w:i/>
        </w:rPr>
        <w:t xml:space="preserve">head , </w:t>
      </w:r>
      <m:oMath>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Q</m:t>
            </m:r>
            <m:ctrlPr>
              <w:rPr>
                <w:rFonts w:ascii="Cambria Math" w:hAnsi="Cambria Math"/>
                <w:i/>
              </w:rPr>
            </m:ctrlPr>
          </m:sup>
        </m:sSubSup>
        <m:r>
          <m:rPr/>
          <w:rPr>
            <w:rFonts w:ascii="Cambria Math" w:hAnsi="Cambria Math"/>
          </w:rPr>
          <m:t xml:space="preserve">, </m:t>
        </m:r>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K</m:t>
            </m:r>
            <m:ctrlPr>
              <w:rPr>
                <w:rFonts w:ascii="Cambria Math" w:hAnsi="Cambria Math"/>
                <w:i/>
              </w:rPr>
            </m:ctrlPr>
          </m:sup>
        </m:sSubSup>
        <m:r>
          <m:rPr/>
          <w:rPr>
            <w:rFonts w:ascii="Cambria Math" w:hAnsi="Cambria Math"/>
          </w:rPr>
          <m:t>,</m:t>
        </m:r>
        <m:sSubSup>
          <m:sSubSupPr>
            <m:ctrlPr>
              <w:rPr>
                <w:rFonts w:ascii="Cambria Math" w:hAnsi="Cambria Math"/>
                <w:i/>
              </w:rPr>
            </m:ctrlPr>
          </m:sSubSupPr>
          <m:e>
            <m:r>
              <m:rPr/>
              <w:rPr>
                <w:rFonts w:ascii="Cambria Math" w:hAnsi="Cambria Math"/>
              </w:rPr>
              <m:t>W</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V</m:t>
            </m:r>
            <m:ctrlPr>
              <w:rPr>
                <w:rFonts w:ascii="Cambria Math" w:hAnsi="Cambria Math"/>
                <w:i/>
              </w:rPr>
            </m:ctrlPr>
          </m:sup>
        </m:sSubSup>
      </m:oMath>
      <w:r>
        <w:t xml:space="preserve">adalah matriks proyeksi linier untuk </w:t>
      </w:r>
      <w:r>
        <w:rPr>
          <w:i/>
        </w:rPr>
        <w:t xml:space="preserve">head  </w:t>
      </w:r>
      <w:r>
        <w:t>ke-</w:t>
      </w:r>
      <w:r>
        <w:rPr>
          <w:i/>
        </w:rPr>
        <w:t xml:space="preserve">i, </w:t>
      </w:r>
      <w:r>
        <w:t xml:space="preserve">dan </w:t>
      </w:r>
      <m:oMath>
        <m:sSup>
          <m:sSupPr>
            <m:ctrlPr>
              <w:rPr>
                <w:rFonts w:ascii="Cambria Math" w:hAnsi="Cambria Math"/>
                <w:i/>
              </w:rPr>
            </m:ctrlPr>
          </m:sSupPr>
          <m:e>
            <m:r>
              <m:rPr/>
              <w:rPr>
                <w:rFonts w:ascii="Cambria Math" w:hAnsi="Cambria Math"/>
              </w:rPr>
              <m:t>W</m:t>
            </m:r>
            <m:ctrlPr>
              <w:rPr>
                <w:rFonts w:ascii="Cambria Math" w:hAnsi="Cambria Math"/>
                <w:i/>
              </w:rPr>
            </m:ctrlPr>
          </m:e>
          <m:sup>
            <m:r>
              <m:rPr/>
              <w:rPr>
                <w:rFonts w:ascii="Cambria Math" w:hAnsi="Cambria Math"/>
              </w:rPr>
              <m:t>O</m:t>
            </m:r>
            <m:ctrlPr>
              <w:rPr>
                <w:rFonts w:ascii="Cambria Math" w:hAnsi="Cambria Math"/>
                <w:i/>
              </w:rPr>
            </m:ctrlPr>
          </m:sup>
        </m:sSup>
      </m:oMath>
      <w:r>
        <w:t xml:space="preserve"> adalah matriks pr</w:t>
      </w:r>
      <w:r>
        <w:rPr>
          <w:lang w:val="en-US"/>
        </w:rPr>
        <w:t>o</w:t>
      </w:r>
      <w:r>
        <w:t>yeksi keluaran. Pendekatan ini memungkinkan model untuk memproyeksikan input ke dalam beberapa sub-ruang fitur yang berbeda sebelum dilakukan proses perhatian.</w:t>
      </w:r>
    </w:p>
    <w:p w14:paraId="6677FF82">
      <w:pPr>
        <w:spacing w:after="0"/>
        <w:ind w:left="360" w:firstLine="633"/>
      </w:pPr>
      <w:r>
        <w:t xml:space="preserve">Dalam peramalan </w:t>
      </w:r>
      <w:r>
        <w:rPr>
          <w:i/>
        </w:rPr>
        <w:t>time series</w:t>
      </w:r>
      <w:r>
        <w:t>, setiap "</w:t>
      </w:r>
      <w:r>
        <w:rPr>
          <w:i/>
        </w:rPr>
        <w:t xml:space="preserve">head </w:t>
      </w:r>
      <w:r>
        <w:t>" memiliki peran spesifik untuk mengenali jenis ketergantungan yang berbeda. Hal ini mencakup aspek fluktuasi jangka pendek yang dipengaruhi</w:t>
      </w:r>
      <w:r>
        <w:rPr>
          <w:lang w:val="en-US"/>
        </w:rPr>
        <w:t xml:space="preserve">, seperti </w:t>
      </w:r>
      <w:r>
        <w:t xml:space="preserve">cuaca harian, tren iklim jangka panjang, siklus musiman, hingga </w:t>
      </w:r>
      <w:r>
        <w:rPr>
          <w:lang w:val="en-US"/>
        </w:rPr>
        <w:t>deteksi</w:t>
      </w:r>
      <w:r>
        <w:t xml:space="preserve"> peristiwa ekstrem yang jarang terjadi namun </w:t>
      </w:r>
      <w:r>
        <w:rPr>
          <w:lang w:val="en-US"/>
        </w:rPr>
        <w:t xml:space="preserve">berdampak </w:t>
      </w:r>
      <w:r>
        <w:t xml:space="preserve">signifikan </w:t>
      </w:r>
      <w:r>
        <w:fldChar w:fldCharType="begin" w:fldLock="1"/>
      </w:r>
      <w:r>
        <w:instrText xml:space="preserve">ADDIN CSL_CITATION {"citationItems":[{"id":"ITEM-1","itemData":{"DOI":"10.5194/hess-23-5089-2019","abstract":"Abstract. Regional rainfall–runoff modeling is an old but still mostly outstanding problem in the hydrological sciences. The problem currently is that traditional hydrological models degrade significantly in performance when calibrated for multiple basins together instead of for a single basin alone. In this paper, we propose a novel, data-driven approach using Long Short-Term Memory networks (LSTMs) and demonstrate that under a “big data” paradigm, this is not necessarily the case. By training a single LSTM model on 531 basins from the CAMELS dataset using meteorological time series data and static catchment attributes, we were able to significantly improve performance compared to a set of several different hydrological benchmark models. Our proposed approach not only significantly outperforms hydrological models that were calibrated regionally, but also achieves better performance than hydrological models that were calibrated for each basin individually. Furthermore, we propose an adaption to the standard LSTM architecture, which we call an Entity-Aware-LSTM (EA-LSTM), that allows for learning catchment similarities as a feature layer in a deep learning model. We show that these learned catchment similarities correspond well to what we would expect from prior hydrological understanding. ","author":[{"dropping-particle":"","family":"Kratzert","given":"Frederik","non-dropping-particle":"","parse-names":false,"suffix":""},{"dropping-particle":"","family":"Klotz","given":"Daniel","non-dropping-particle":"","parse-names":false,"suffix":""},{"dropping-particle":"","family":"Shalev","given":"Guy","non-dropping-particle":"","parse-names":false,"suffix":""},{"dropping-particle":"","family":"Klambauer","given":"Günter","non-dropping-particle":"","parse-names":false,"suffix":""},{"dropping-particle":"","family":"Hochreiter","given":"Sepp","non-dropping-particle":"","parse-names":false,"suffix":""},{"dropping-particle":"","family":"Nearing","given":"Grey","non-dropping-particle":"","parse-names":false,"suffix":""}],"container-title":"Hydrology and Earth System Sciences","id":"ITEM-1","issue":"12","issued":{"date-parts":[["2019"]]},"page":"5089-5110","title":"Towards Learning Universal, Regional, and Local Hydrological Behaviors via Machine Learning Applied to Large-Sample Datasets","type":"article-journal","volume":"23"},"uris":["http://www.mendeley.com/documents/?uuid=f42354f6-a362-4695-999c-fb66f1434d88"]}],"mendeley":{"formattedCitation":"(Kratzert dkk., 2019)","manualFormatting":"(Kratzert dkk., 2019)","plainTextFormattedCitation":"(Kratzert dkk., 2019)","previouslyFormattedCitation":"(Kratzert &lt;i&gt;et al.&lt;/i&gt;, 2019)"},"properties":{"noteIndex":0},"schema":"https://github.com/citation-style-language/schema/raw/master/csl-citation.json"}</w:instrText>
      </w:r>
      <w:r>
        <w:fldChar w:fldCharType="separate"/>
      </w:r>
      <w:r>
        <w:t>(Kratzert dkk., 2019)</w:t>
      </w:r>
      <w:r>
        <w:fldChar w:fldCharType="end"/>
      </w:r>
      <w:r>
        <w:t>.</w:t>
      </w:r>
      <w:r>
        <w:rPr>
          <w:lang w:val="en-US"/>
        </w:rPr>
        <w:t xml:space="preserve">  </w:t>
      </w:r>
    </w:p>
    <w:p w14:paraId="2492033B">
      <w:pPr>
        <w:pStyle w:val="44"/>
      </w:pPr>
      <w:r>
        <w:t xml:space="preserve">e) </w:t>
      </w:r>
      <w:r>
        <w:rPr>
          <w:i/>
        </w:rPr>
        <w:t>Positional Encoding</w:t>
      </w:r>
    </w:p>
    <w:p w14:paraId="1092C295">
      <w:pPr>
        <w:spacing w:after="0"/>
        <w:ind w:left="360" w:firstLine="633"/>
        <w:rPr>
          <w:lang w:val="en-US"/>
        </w:rPr>
      </w:pPr>
      <w:r>
        <w:t xml:space="preserve">Arsitektur </w:t>
      </w:r>
      <w:r>
        <w:rPr>
          <w:i/>
        </w:rPr>
        <w:t>Transformer</w:t>
      </w:r>
      <w:r>
        <w:t xml:space="preserve"> tidak memproses data secara sekuensial</w:t>
      </w:r>
      <w:r>
        <w:rPr>
          <w:lang w:val="en-US"/>
        </w:rPr>
        <w:t xml:space="preserve"> (satu per satu)</w:t>
      </w:r>
      <w:r>
        <w:t xml:space="preserve"> seperti RNN, sehingga model ini tidak secara otomatis mengenali urutan waktu. Untuk mengatasi hal tersebut, digunakan teknik </w:t>
      </w:r>
      <w:r>
        <w:rPr>
          <w:i/>
        </w:rPr>
        <w:t>positional encoding</w:t>
      </w:r>
      <w:r>
        <w:t xml:space="preserve"> yang berfungsi menyisipkan informasi posisi pada setiap elemen data.</w:t>
      </w:r>
      <w:r>
        <w:rPr>
          <w:lang w:val="en-US"/>
        </w:rPr>
        <w:t xml:space="preserve"> </w:t>
      </w:r>
      <w:r>
        <w:rPr>
          <w:i/>
        </w:rPr>
        <w:t>Positional encoding</w:t>
      </w:r>
      <w:r>
        <w:t xml:space="preserve"> yang umum digunakan adalah </w:t>
      </w:r>
      <w:r>
        <w:rPr>
          <w:i/>
        </w:rPr>
        <w:t>sinusoidal positional encoding</w:t>
      </w:r>
      <w:r>
        <w:rPr>
          <w:lang w:val="en-US"/>
        </w:rPr>
        <w:t xml:space="preserve">. </w:t>
      </w:r>
      <w:r>
        <w:rPr>
          <w:i/>
          <w:iCs/>
        </w:rPr>
        <w:t>Sinusoidal positional encoding</w:t>
      </w:r>
      <w:r>
        <w:t xml:space="preserve"> sering menjadi pilihan utama dalam peramalan iklim karena sifatnya yang tetap dan kemampuannya menangkap pola periodik alami secara konsisten. Stabilitas dan kemampuan generalisasi inilah yang menjadikannya lebih relevan untuk merepresentasikan keteraturan temporal dalam data curah hujan </w:t>
      </w:r>
      <w:r>
        <w:fldChar w:fldCharType="begin" w:fldLock="1"/>
      </w:r>
      <w:r>
        <w:instrText xml:space="preserve">ADDIN CSL_CITATION {"citationItems":[{"id":"ITEM-1","itemData":{"DOI":"10.48550/arxiv.1706.03762","author":[{"dropping-particle":"","family":"Vaswani","given":"Ashish","non-dropping-particle":"","parse-names":false,"suffix":""},{"dropping-particle":"","family":"Shazeer","given":"Noam","non-dropping-particle":"","parse-names":false,"suffix":""},{"dropping-particle":"","family":"Parmar","given":"Niki","non-dropping-particle":"","parse-names":false,"suffix":""},{"dropping-particle":"","family":"Uszkoreit","given":"Jakob","non-dropping-particle":"","parse-names":false,"suffix":""},{"dropping-particle":"","family":"Jones","given":"Llion","non-dropping-particle":"","parse-names":false,"suffix":""},{"dropping-particle":"","family":"Gomez","given":"Aidan N","non-dropping-particle":"","parse-names":false,"suffix":""},{"dropping-particle":"","family":"Kaiser","given":"Łukasz","non-dropping-particle":"","parse-names":false,"suffix":""},{"dropping-particle":"","family":"Polosukhin","given":"Illia","non-dropping-particle":"","parse-names":false,"suffix":""}],"id":"ITEM-1","issued":{"date-parts":[["2017"]]},"title":"Attention Is All You Need","type":"article-journal"},"uris":["http://www.mendeley.com/documents/?uuid=858eda02-8ae4-4465-9d60-a2d1313a91a7"]}],"mendeley":{"formattedCitation":"(Vaswani dkk., 2017)","manualFormatting":"(Vaswani dkk., 2017)","plainTextFormattedCitation":"(Vaswani dkk., 2017)","previouslyFormattedCitation":"(Vaswani &lt;i&gt;et al.&lt;/i&gt;, 2017)"},"properties":{"noteIndex":0},"schema":"https://github.com/citation-style-language/schema/raw/master/csl-citation.json"}</w:instrText>
      </w:r>
      <w:r>
        <w:fldChar w:fldCharType="separate"/>
      </w:r>
      <w:r>
        <w:t>(Vaswani dkk., 2017)</w:t>
      </w:r>
      <w:r>
        <w:fldChar w:fldCharType="end"/>
      </w:r>
      <w:r>
        <w:rPr>
          <w:lang w:val="en-US"/>
        </w:rPr>
        <w:t>.</w:t>
      </w:r>
    </w:p>
    <w:p w14:paraId="693F80EE">
      <w:pPr>
        <w:pStyle w:val="44"/>
      </w:pPr>
      <w:r>
        <w:t xml:space="preserve">f) Arsitektur </w:t>
      </w:r>
      <w:r>
        <w:rPr>
          <w:i/>
        </w:rPr>
        <w:t>Encoder-Only</w:t>
      </w:r>
    </w:p>
    <w:p w14:paraId="44420A25">
      <w:pPr>
        <w:spacing w:after="0"/>
        <w:ind w:left="360" w:firstLine="633"/>
      </w:pPr>
      <w:r>
        <w:t xml:space="preserve">Arsitektur </w:t>
      </w:r>
      <w:r>
        <w:rPr>
          <w:i/>
        </w:rPr>
        <w:t>encoder-only</w:t>
      </w:r>
      <w:r>
        <w:t xml:space="preserve"> </w:t>
      </w:r>
      <w:r>
        <w:rPr>
          <w:i/>
        </w:rPr>
        <w:t>Transformer</w:t>
      </w:r>
      <w:r>
        <w:t xml:space="preserve"> terbukti sangat efektif untuk analisis </w:t>
      </w:r>
      <w:r>
        <w:rPr>
          <w:i/>
        </w:rPr>
        <w:t>time series</w:t>
      </w:r>
      <w:r>
        <w:t xml:space="preserve"> karena fokusnya pada ekstraksi fitur tanpa melibatkan komponen </w:t>
      </w:r>
      <w:r>
        <w:rPr>
          <w:i/>
        </w:rPr>
        <w:t>decoder</w:t>
      </w:r>
      <w:r>
        <w:t xml:space="preserve">. Prosesnya dimulai dengan memetakan data historis ke dalam ruang </w:t>
      </w:r>
      <w:r>
        <w:rPr>
          <w:i/>
        </w:rPr>
        <w:t>embedding</w:t>
      </w:r>
      <w:r>
        <w:t xml:space="preserve"> yang dilengkapi informasi posisi, kemudian diolah secara paralel melalui blok </w:t>
      </w:r>
      <w:r>
        <w:rPr>
          <w:i/>
          <w:lang w:val="en-US"/>
        </w:rPr>
        <w:t>Multi-head</w:t>
      </w:r>
      <w:r>
        <w:rPr>
          <w:lang w:val="en-US"/>
        </w:rPr>
        <w:t xml:space="preserve"> </w:t>
      </w:r>
      <w:r>
        <w:rPr>
          <w:i/>
          <w:lang w:val="en-US"/>
        </w:rPr>
        <w:t>Attention</w:t>
      </w:r>
      <w:r>
        <w:t>.</w:t>
      </w:r>
      <w:r>
        <w:rPr>
          <w:lang w:val="en-US"/>
        </w:rPr>
        <w:t xml:space="preserve"> </w:t>
      </w:r>
      <w:r>
        <w:t xml:space="preserve">Keunggulan utama arsitektur ini terletak pada efisiensi komputasinya. Output dari </w:t>
      </w:r>
      <w:r>
        <w:rPr>
          <w:i/>
        </w:rPr>
        <w:t>encoder</w:t>
      </w:r>
      <w:r>
        <w:t xml:space="preserve"> cukup diringkas melalui mekanisme </w:t>
      </w:r>
      <w:r>
        <w:rPr>
          <w:i/>
        </w:rPr>
        <w:t>pooling</w:t>
      </w:r>
      <w:r>
        <w:t xml:space="preserve"> sebelum dipetakan menjadi hasil akhir. Karakteristik ini menjadikan model lebih stabil</w:t>
      </w:r>
      <w:r>
        <w:rPr>
          <w:lang w:val="en-US"/>
        </w:rPr>
        <w:t xml:space="preserve"> dan </w:t>
      </w:r>
      <w:r>
        <w:t xml:space="preserve">sangat relevan untuk tugas regresi kompleks seperti peramalan curah hujan </w:t>
      </w:r>
      <w:r>
        <w:fldChar w:fldCharType="begin" w:fldLock="1"/>
      </w:r>
      <w:r>
        <w:instrText xml:space="preserve">ADDIN CSL_CITATION {"citationItems":[{"id":"ITEM-1","itemData":{"DOI":"10.1609/aaai.v37i9.26317","abstract":"Recently, there has been a surge of Transformer-based solutions for the long-term time series forecasting (LTSF) task. Despite the growing performance over the past few years, we question the validity of this line of research in this work. Specifically, Transformers is arguably the most successful solution to extract the semantic correlations among the elements in a long sequence. However, in time series modeling, we are to extract the temporal relations in an ordered set of continuous points. While employing positional encoding and using tokens to embed sub-series in Transformers facilitate preserving some ordering information, the nature of the permutation-invariant self-attention mechanism inevitably results in temporal information loss.  To validate our claim, we introduce a set of embarrassingly simple one-layer linear models named LTSF-Linear for comparison. Experimental results on nine real-life datasets show that LTSF-Linear surprisingly outperforms existing sophisticated Transformer-based LTSF models in all cases, and often by a large margin. Moreover, we conduct comprehensive empirical studies to explore the impacts of various design elements of LTSF models on their temporal relation extraction capability. We hope this surprising finding opens up new research directions for the LTSF task. We also advocate revisiting the validity of Transformer-based solutions for other time series analysis tasks (e.g., anomaly detection) in the future.","author":[{"dropping-particle":"","family":"Zeng","given":"Ailing","non-dropping-particle":"","parse-names":false,"suffix":""},{"dropping-particle":"","family":"Chen","given":"Muxi","non-dropping-particle":"","parse-names":false,"suffix":""},{"dropping-particle":"","family":"Zhang","given":"Lei","non-dropping-particle":"","parse-names":false,"suffix":""},{"dropping-particle":"","family":"Xu","given":"Qiang","non-dropping-particle":"","parse-names":false,"suffix":""}],"container-title":"Proceedings of the AAAI Conference on Artificial Intelligence","id":"ITEM-1","issue":"9","issued":{"date-parts":[["2023"]]},"page":"11121-11128","title":"Are Transformers Effective for Time Series Forecasting?","type":"article-journal","volume":"37"},"uris":["http://www.mendeley.com/documents/?uuid=a80ab64e-0dee-4f66-b734-6b6760bf6d9a"]}],"mendeley":{"formattedCitation":"(Zeng dkk., 2023)","manualFormatting":"(Zeng dkk., 2023)","plainTextFormattedCitation":"(Zeng dkk., 2023)","previouslyFormattedCitation":"(Zeng &lt;i&gt;et al.&lt;/i&gt;, 2023)"},"properties":{"noteIndex":0},"schema":"https://github.com/citation-style-language/schema/raw/master/csl-citation.json"}</w:instrText>
      </w:r>
      <w:r>
        <w:fldChar w:fldCharType="separate"/>
      </w:r>
      <w:r>
        <w:t>(Zeng dkk., 2023)</w:t>
      </w:r>
      <w:r>
        <w:fldChar w:fldCharType="end"/>
      </w:r>
      <w:r>
        <w:t>.</w:t>
      </w:r>
    </w:p>
    <w:p w14:paraId="348C058F">
      <w:pPr>
        <w:pStyle w:val="44"/>
      </w:pPr>
      <w:r>
        <w:t xml:space="preserve">g) </w:t>
      </w:r>
      <w:r>
        <w:rPr>
          <w:i/>
        </w:rPr>
        <w:t>Pre-LayerNorm vs Post-LayerNorm</w:t>
      </w:r>
    </w:p>
    <w:p w14:paraId="7ABE09CD">
      <w:pPr>
        <w:spacing w:after="0"/>
        <w:ind w:left="360" w:firstLine="633"/>
        <w:rPr>
          <w:lang w:val="en-US"/>
        </w:rPr>
      </w:pPr>
      <w:r>
        <w:rPr>
          <w:bCs/>
          <w:i/>
        </w:rPr>
        <w:t>Layer Normalization (LayerNorm</w:t>
      </w:r>
      <w:r>
        <w:rPr>
          <w:bCs/>
        </w:rPr>
        <w:t xml:space="preserve">) berperan vital dalam menjaga dinamika pelatihan </w:t>
      </w:r>
      <w:r>
        <w:rPr>
          <w:bCs/>
          <w:i/>
        </w:rPr>
        <w:t>Transformer</w:t>
      </w:r>
      <w:r>
        <w:rPr>
          <w:bCs/>
        </w:rPr>
        <w:t>, namun efektivitasnya sangat bergantung pada letak penempatannya: sebelum (</w:t>
      </w:r>
      <w:r>
        <w:rPr>
          <w:bCs/>
          <w:i/>
        </w:rPr>
        <w:t>Pre</w:t>
      </w:r>
      <w:r>
        <w:rPr>
          <w:bCs/>
        </w:rPr>
        <w:t>-) atau sesudah (</w:t>
      </w:r>
      <w:r>
        <w:rPr>
          <w:bCs/>
          <w:i/>
        </w:rPr>
        <w:t>Post</w:t>
      </w:r>
      <w:r>
        <w:rPr>
          <w:bCs/>
        </w:rPr>
        <w:t>-) koneksi residual</w:t>
      </w:r>
      <w:r>
        <w:t>.</w:t>
      </w:r>
      <w:r>
        <w:rPr>
          <w:lang w:val="en-US"/>
        </w:rPr>
        <w:t xml:space="preserve"> </w:t>
      </w:r>
      <w:r>
        <w:rPr>
          <w:i/>
        </w:rPr>
        <w:t>Pre-LayerNorm</w:t>
      </w:r>
      <w:r>
        <w:t xml:space="preserve"> terbukti jauh lebih unggul karena jalur gradiennya lebih mulus, berbeda dengan </w:t>
      </w:r>
      <w:r>
        <w:rPr>
          <w:i/>
        </w:rPr>
        <w:t>Post-LayerNorm</w:t>
      </w:r>
      <w:r>
        <w:t xml:space="preserve"> yang sering mengalami kendala </w:t>
      </w:r>
      <w:r>
        <w:br w:type="textWrapping"/>
      </w:r>
      <w:r>
        <w:t>sulit konvergen</w:t>
      </w:r>
      <w:r>
        <w:rPr>
          <w:lang w:val="en-US"/>
        </w:rPr>
        <w:t xml:space="preserve"> </w:t>
      </w:r>
      <w:r>
        <w:t xml:space="preserve">saat tumpukan </w:t>
      </w:r>
      <w:r>
        <w:rPr>
          <w:i/>
        </w:rPr>
        <w:t>layer</w:t>
      </w:r>
      <w:r>
        <w:t xml:space="preserve"> semakin dalam.</w:t>
      </w:r>
      <w:r>
        <w:rPr>
          <w:lang w:val="en-US"/>
        </w:rPr>
        <w:t xml:space="preserve"> </w:t>
      </w:r>
      <w:r>
        <w:t xml:space="preserve">Karena jaminan konvergensi inilah, </w:t>
      </w:r>
      <w:r>
        <w:rPr>
          <w:i/>
        </w:rPr>
        <w:t>Pre-LayerNorm</w:t>
      </w:r>
      <w:r>
        <w:t xml:space="preserve"> kini diadopsi sebagai standar modern untuk menangani kompleksitas data </w:t>
      </w:r>
      <w:r>
        <w:rPr>
          <w:i/>
          <w:iCs/>
        </w:rPr>
        <w:t>time series</w:t>
      </w:r>
      <w:r>
        <w:rPr>
          <w:i/>
          <w:iCs/>
          <w:lang w:val="en-US"/>
        </w:rPr>
        <w:t xml:space="preserve"> </w:t>
      </w:r>
      <w:r>
        <w:fldChar w:fldCharType="begin" w:fldLock="1"/>
      </w:r>
      <w:r>
        <w:instrText xml:space="preserve">ADDIN CSL_CITATION {"citationItems":[{"id":"ITEM-1","itemData":{"DOI":"10.2166/ws.2021.391","abstract":"Abstract Rainfall prediction is a critical task because many people rely on it, particularly in the agricultural sector. Rainfall forecasting is difficult due to the ever-changing nature of weather conditions. In this study, we carry out a rainfall predictive model for Jimma, a region located in southwestern Oromia, Ethiopia. We proposed a Long Short-Term Memory (LSTM)-based prediction model capable of forecasting Jimma's daily rainfall. Experiments were conducted to evaluate the proposed models using various metrics such as Root Mean Squared Error (RMSE), Mean Absolute Percentage Error (MAPE) Nash-Sutcliffe model efficiency (NSE), and R2, and the results were 0.01, 0.4786 0.81 and 0.9972, respectively. We also compared the proposed model to existing machine learning regressions like Multilayer Perceptron (MLP), K-Nearest Neighbors (KNN), Support Vector Machine (SVM), and Decision Tree (DT). The RMSE of MLP was the lowest of the four existing learning models i.e., 0.03. The proposed LSTM model outperforms the existing models, with an RMSE of 0.01. The experimental results show that the proposed model has a lower RMSE and a higher R2.","author":[{"dropping-particle":"","family":"Endalie","given":"Demeke","non-dropping-particle":"","parse-names":false,"suffix":""},{"dropping-particle":"","family":"Haile","given":"Getamesay","non-dropping-particle":"","parse-names":false,"suffix":""},{"dropping-particle":"","family":"Taye","given":"Wondmagegn","non-dropping-particle":"","parse-names":false,"suffix":""}],"container-title":"Water Supply","id":"ITEM-1","issue":"3","issued":{"date-parts":[["2021"]]},"page":"3448-3461","title":"Deep Learning Model for Daily Rainfall Prediction: Case Study of Jimma, Ethiopia","type":"article-journal","volume":"22"},"uris":["http://www.mendeley.com/documents/?uuid=251e3ee1-5339-41ba-b009-449763d4a759"]}],"mendeley":{"formattedCitation":"(Endalie dkk., 2021)","manualFormatting":"(Endalie, Haile dan Taye, 2021)","plainTextFormattedCitation":"(Endalie dkk., 2021)","previouslyFormattedCitation":"(Endalie, Haile dan Taye, 2021)"},"properties":{"noteIndex":0},"schema":"https://github.com/citation-style-language/schema/raw/master/csl-citation.json"}</w:instrText>
      </w:r>
      <w:r>
        <w:fldChar w:fldCharType="separate"/>
      </w:r>
      <w:r>
        <w:t>(Endalie, Haile dan Taye, 2021)</w:t>
      </w:r>
      <w:r>
        <w:fldChar w:fldCharType="end"/>
      </w:r>
      <w:r>
        <w:rPr>
          <w:lang w:val="en-US"/>
        </w:rPr>
        <w:t>.</w:t>
      </w:r>
    </w:p>
    <w:p w14:paraId="678AE8EB">
      <w:pPr>
        <w:pStyle w:val="44"/>
      </w:pPr>
      <w:r>
        <w:t xml:space="preserve">h) </w:t>
      </w:r>
      <w:r>
        <w:rPr>
          <w:i/>
        </w:rPr>
        <w:t>Transformer</w:t>
      </w:r>
      <w:r>
        <w:t xml:space="preserve"> untuk </w:t>
      </w:r>
      <w:r>
        <w:rPr>
          <w:i/>
        </w:rPr>
        <w:t>Time Series Forecasting</w:t>
      </w:r>
    </w:p>
    <w:p w14:paraId="57166B7E">
      <w:pPr>
        <w:spacing w:after="0"/>
        <w:ind w:left="360" w:firstLine="633"/>
      </w:pPr>
      <w:r>
        <w:t xml:space="preserve">Arsitektur </w:t>
      </w:r>
      <w:r>
        <w:rPr>
          <w:i/>
        </w:rPr>
        <w:t>Transformer</w:t>
      </w:r>
      <w:r>
        <w:t xml:space="preserve"> awalnya dikembangkan untuk </w:t>
      </w:r>
      <w:r>
        <w:rPr>
          <w:i/>
        </w:rPr>
        <w:t>Natural Language Processing</w:t>
      </w:r>
      <w:r>
        <w:t xml:space="preserve"> (NLP)</w:t>
      </w:r>
      <w:r>
        <w:rPr>
          <w:lang w:val="en-US"/>
        </w:rPr>
        <w:t>, namun</w:t>
      </w:r>
      <w:r>
        <w:t xml:space="preserve"> telah banyak diadaptasi untuk peramalan </w:t>
      </w:r>
      <w:r>
        <w:rPr>
          <w:i/>
        </w:rPr>
        <w:t>time series</w:t>
      </w:r>
      <w:r>
        <w:t xml:space="preserve"> karena kemampuannya memodelkan ketergantungan temporal jangka pendek hingga panjang secara paralel. Dalam konteks </w:t>
      </w:r>
      <w:r>
        <w:rPr>
          <w:i/>
        </w:rPr>
        <w:t>time series</w:t>
      </w:r>
      <w:r>
        <w:t xml:space="preserve">, </w:t>
      </w:r>
      <w:r>
        <w:rPr>
          <w:i/>
        </w:rPr>
        <w:t>input</w:t>
      </w:r>
      <w:r>
        <w:t xml:space="preserve"> </w:t>
      </w:r>
      <w:r>
        <w:rPr>
          <w:i/>
        </w:rPr>
        <w:t>Transformer</w:t>
      </w:r>
      <w:r>
        <w:t xml:space="preserve"> tidak lagi berupa toke</w:t>
      </w:r>
      <w:r>
        <w:rPr>
          <w:lang w:val="en-US"/>
        </w:rPr>
        <w:t>n</w:t>
      </w:r>
      <w:r>
        <w:t xml:space="preserve">, melainkan sekuens nilai numerik yang merepresentasikan variabel meteorologi </w:t>
      </w:r>
      <w:r>
        <w:fldChar w:fldCharType="begin" w:fldLock="1"/>
      </w:r>
      <w:r>
        <w:instrText xml:space="preserve">ADDIN CSL_CITATION {"citationItems":[{"id":"ITEM-1","itemData":{"DOI":"10.1609/aaai.v37i9.26317","abstract":"Recently, there has been a surge of Transformer-based solutions for the long-term time series forecasting (LTSF) task. Despite the growing performance over the past few years, we question the validity of this line of research in this work. Specifically, Transformers is arguably the most successful solution to extract the semantic correlations among the elements in a long sequence. However, in time series modeling, we are to extract the temporal relations in an ordered set of continuous points. While employing positional encoding and using tokens to embed sub-series in Transformers facilitate preserving some ordering information, the nature of the permutation-invariant self-attention mechanism inevitably results in temporal information loss.  To validate our claim, we introduce a set of embarrassingly simple one-layer linear models named LTSF-Linear for comparison. Experimental results on nine real-life datasets show that LTSF-Linear surprisingly outperforms existing sophisticated Transformer-based LTSF models in all cases, and often by a large margin. Moreover, we conduct comprehensive empirical studies to explore the impacts of various design elements of LTSF models on their temporal relation extraction capability. We hope this surprising finding opens up new research directions for the LTSF task. We also advocate revisiting the validity of Transformer-based solutions for other time series analysis tasks (e.g., anomaly detection) in the future.","author":[{"dropping-particle":"","family":"Zeng","given":"Ailing","non-dropping-particle":"","parse-names":false,"suffix":""},{"dropping-particle":"","family":"Chen","given":"Muxi","non-dropping-particle":"","parse-names":false,"suffix":""},{"dropping-particle":"","family":"Zhang","given":"Lei","non-dropping-particle":"","parse-names":false,"suffix":""},{"dropping-particle":"","family":"Xu","given":"Qiang","non-dropping-particle":"","parse-names":false,"suffix":""}],"container-title":"Proceedings of the AAAI Conference on Artificial Intelligence","id":"ITEM-1","issue":"9","issued":{"date-parts":[["2023"]]},"page":"11121-11128","title":"Are Transformers Effective for Time Series Forecasting?","type":"article-journal","volume":"37"},"uris":["http://www.mendeley.com/documents/?uuid=a80ab64e-0dee-4f66-b734-6b6760bf6d9a"]}],"mendeley":{"formattedCitation":"(Zeng dkk., 2023)","manualFormatting":"(Zeng dkk., 2023)","plainTextFormattedCitation":"(Zeng dkk., 2023)","previouslyFormattedCitation":"(Zeng &lt;i&gt;et al.&lt;/i&gt;, 2023)"},"properties":{"noteIndex":0},"schema":"https://github.com/citation-style-language/schema/raw/master/csl-citation.json"}</w:instrText>
      </w:r>
      <w:r>
        <w:fldChar w:fldCharType="separate"/>
      </w:r>
      <w:r>
        <w:t>(Zeng dkk., 2023)</w:t>
      </w:r>
      <w:r>
        <w:fldChar w:fldCharType="end"/>
      </w:r>
      <w:r>
        <w:t>.</w:t>
      </w:r>
    </w:p>
    <w:p w14:paraId="12269EBD">
      <w:pPr>
        <w:pStyle w:val="33"/>
        <w:numPr>
          <w:ilvl w:val="0"/>
          <w:numId w:val="11"/>
        </w:numPr>
        <w:spacing w:after="0"/>
        <w:ind w:left="1134" w:hanging="283"/>
        <w:rPr>
          <w:b/>
          <w:i/>
        </w:rPr>
      </w:pPr>
      <w:r>
        <w:rPr>
          <w:b/>
          <w:i/>
        </w:rPr>
        <w:t>Multi-Horizon Prediction</w:t>
      </w:r>
    </w:p>
    <w:p w14:paraId="6EA46397">
      <w:pPr>
        <w:spacing w:after="0"/>
        <w:ind w:left="1134" w:firstLine="306"/>
      </w:pPr>
      <w:r>
        <w:t xml:space="preserve">Salah satu kelebihan utama </w:t>
      </w:r>
      <w:r>
        <w:rPr>
          <w:i/>
        </w:rPr>
        <w:t>Transformer</w:t>
      </w:r>
      <w:r>
        <w:t xml:space="preserve"> adalah kemampuannya memprediksi masa depan secara langsung dan sekaligus</w:t>
      </w:r>
      <w:r>
        <w:rPr>
          <w:lang w:val="en-US"/>
        </w:rPr>
        <w:t xml:space="preserve"> </w:t>
      </w:r>
      <w:r>
        <w:rPr>
          <w:i/>
        </w:rPr>
        <w:t>Transformer</w:t>
      </w:r>
      <w:r>
        <w:t xml:space="preserve"> melihat data masa lalu dan langsung mengeluarkan prediksi untuk beberapa waktu ke depan dalam satu kali proses hitung</w:t>
      </w:r>
      <w:r>
        <w:rPr>
          <w:lang w:val="en-US"/>
        </w:rPr>
        <w:t>. 6</w:t>
      </w:r>
      <w:r>
        <w:t xml:space="preserve"> horizon berarti model</w:t>
      </w:r>
      <w:r>
        <w:rPr>
          <w:lang w:val="en-US"/>
        </w:rPr>
        <w:t xml:space="preserve"> </w:t>
      </w:r>
      <w:r>
        <w:t xml:space="preserve">memprediksi </w:t>
      </w:r>
      <w:r>
        <w:rPr>
          <w:lang w:val="en-US"/>
        </w:rPr>
        <w:t>6</w:t>
      </w:r>
      <w:r>
        <w:t xml:space="preserve"> dasarian ke depan</w:t>
      </w:r>
      <w:r>
        <w:rPr>
          <w:lang w:val="en-US"/>
        </w:rPr>
        <w:t xml:space="preserve"> </w:t>
      </w:r>
      <w:r>
        <w:rPr>
          <w:lang w:val="en-US"/>
        </w:rPr>
        <w:fldChar w:fldCharType="begin" w:fldLock="1"/>
      </w:r>
      <w:r>
        <w:rPr>
          <w:lang w:val="en-US"/>
        </w:rPr>
        <w:instrText xml:space="preserve">ADDIN CSL_CITATION {"citationItems":[{"id":"ITEM-1","itemData":{"DOI":"10.7717/peerj-cs.514","abstract":"Rainfall prediction is immensely crucial in daily life routine as well as for water resource management, stochastic hydrology, rain run-off modeling and flood risk mitigation. Quantitative prediction of rainfall time series is extremely challenging as compared to other meteorological parameters due to its variability in local features that involves temporal and spatial scales. Consequently, this requires a highly complex system having an advance model to accurately capture the highly non linear processes occurring in the climate. The focus of this work is direct prediction of multistep forecasting, where a separate time series model for each forecasting horizon is considered and forecasts are computed using observed data samples. Forecasting in this method is performed by proposing a deep learning approach, i.e, Temporal Deep Belief Network (DBN). The best model is selected from several baseline models on the basis of performance analysis metrics. The results suggest that the temporal DBN model outperforms the conventional Convolutional Neural Network (CNN) specifically on rainfall time series forecasting. According to our experimentation, a modified DBN with hidden layes (300-200-100-10) performs best with 4.59E−05, 0.0068 and 0.94 values of MSE, RMSE and R value respectively on testing samples. However, we found that training DBN is more exhaustive and computationally intensive than other deep learning architectures. Findings of this research can be further utilized as basis for the advance forecasting of other weather parameters with same climate conditions.","author":[{"dropping-particle":"","family":"Narejo","given":"Sanam","non-dropping-particle":"","parse-names":false,"suffix":""},{"dropping-particle":"","family":"Jawaid","given":"Muhammad Moazzam","non-dropping-particle":"","parse-names":false,"suffix":""},{"dropping-particle":"","family":"Talpur","given":"Shahnawaz","non-dropping-particle":"","parse-names":false,"suffix":""},{"dropping-particle":"","family":"Baloch","given":"Rizwan","non-dropping-particle":"","parse-names":false,"suffix":""},{"dropping-particle":"","family":"Pasero","given":"Eros Gian Alessandro","non-dropping-particle":"","parse-names":false,"suffix":""}],"container-title":"PeerJ Computer Science","id":"ITEM-1","issued":{"date-parts":[["2021"]]},"page":"e514","title":"Multi-Step Rainfall Forecasting Using Deep Learning Approach","type":"article-journal","volume":"7"},"uris":["http://www.mendeley.com/documents/?uuid=769205f8-5598-480e-8166-0e421e2e2d05"]}],"mendeley":{"formattedCitation":"(Narejo dkk., 2021)","manualFormatting":"(Narejo dkk., 2021)","plainTextFormattedCitation":"(Narejo dkk., 2021)","previouslyFormattedCitation":"(Narejo &lt;i&gt;et al.&lt;/i&gt;, 2021)"},"properties":{"noteIndex":0},"schema":"https://github.com/citation-style-language/schema/raw/master/csl-citation.json"}</w:instrText>
      </w:r>
      <w:r>
        <w:rPr>
          <w:lang w:val="en-US"/>
        </w:rPr>
        <w:fldChar w:fldCharType="separate"/>
      </w:r>
      <w:r>
        <w:rPr>
          <w:lang w:val="en-US"/>
        </w:rPr>
        <w:t>(Narejo dkk., 2021)</w:t>
      </w:r>
      <w:r>
        <w:rPr>
          <w:lang w:val="en-US"/>
        </w:rPr>
        <w:fldChar w:fldCharType="end"/>
      </w:r>
      <w:r>
        <w:t>.</w:t>
      </w:r>
    </w:p>
    <w:p w14:paraId="338D9B22">
      <w:pPr>
        <w:pStyle w:val="33"/>
        <w:numPr>
          <w:ilvl w:val="0"/>
          <w:numId w:val="11"/>
        </w:numPr>
        <w:spacing w:after="0"/>
        <w:ind w:left="1134" w:hanging="283"/>
        <w:rPr>
          <w:b/>
        </w:rPr>
      </w:pPr>
      <w:r>
        <w:rPr>
          <w:b/>
        </w:rPr>
        <w:t xml:space="preserve">Strategi </w:t>
      </w:r>
      <w:r>
        <w:rPr>
          <w:b/>
          <w:i/>
        </w:rPr>
        <w:t>Pooling</w:t>
      </w:r>
      <w:r>
        <w:rPr>
          <w:b/>
        </w:rPr>
        <w:t xml:space="preserve"> Temporal</w:t>
      </w:r>
    </w:p>
    <w:p w14:paraId="5A8523D1">
      <w:pPr>
        <w:spacing w:after="0"/>
        <w:ind w:left="1134" w:firstLine="306"/>
      </w:pPr>
      <w:r>
        <w:t xml:space="preserve">Dalam menghasilkan representasi tetap dari keluaran </w:t>
      </w:r>
      <w:r>
        <w:rPr>
          <w:i/>
        </w:rPr>
        <w:t>encoder</w:t>
      </w:r>
      <w:r>
        <w:t xml:space="preserve"> yang berdimensi waktu, diperlukan mekanisme </w:t>
      </w:r>
      <w:r>
        <w:rPr>
          <w:i/>
        </w:rPr>
        <w:t>pooling temporal</w:t>
      </w:r>
      <w:r>
        <w:t xml:space="preserve">. Beberapa strategi pooling yang umum digunakan dalam </w:t>
      </w:r>
      <w:r>
        <w:rPr>
          <w:i/>
        </w:rPr>
        <w:t>Transformer</w:t>
      </w:r>
      <w:r>
        <w:t xml:space="preserve"> untuk </w:t>
      </w:r>
      <w:r>
        <w:rPr>
          <w:i/>
        </w:rPr>
        <w:t>time series</w:t>
      </w:r>
      <w:r>
        <w:t xml:space="preserve"> meliputi:</w:t>
      </w:r>
    </w:p>
    <w:p w14:paraId="40BBF92B">
      <w:pPr>
        <w:pStyle w:val="33"/>
        <w:numPr>
          <w:ilvl w:val="0"/>
          <w:numId w:val="12"/>
        </w:numPr>
        <w:spacing w:after="0"/>
        <w:ind w:left="1134" w:hanging="283"/>
      </w:pPr>
      <w:r>
        <w:rPr>
          <w:i/>
        </w:rPr>
        <w:t>Last Timestep Pooling</w:t>
      </w:r>
    </w:p>
    <w:p w14:paraId="0652C436">
      <w:pPr>
        <w:pStyle w:val="33"/>
        <w:spacing w:after="0"/>
        <w:ind w:left="1134"/>
      </w:pPr>
      <w:r>
        <w:t>Strategi ini mengasumsikan bahwa informasi paling relevan untuk prediksi masa depan berada pada kondisi terbaru.</w:t>
      </w:r>
    </w:p>
    <w:p w14:paraId="303DFA13">
      <w:pPr>
        <w:pStyle w:val="33"/>
        <w:numPr>
          <w:ilvl w:val="0"/>
          <w:numId w:val="12"/>
        </w:numPr>
        <w:spacing w:after="0"/>
        <w:ind w:left="1134" w:hanging="283"/>
      </w:pPr>
      <w:r>
        <w:rPr>
          <w:i/>
        </w:rPr>
        <w:t>Mean Pooling</w:t>
      </w:r>
    </w:p>
    <w:p w14:paraId="54AF760E">
      <w:pPr>
        <w:pStyle w:val="33"/>
        <w:spacing w:after="0"/>
        <w:ind w:left="1134"/>
      </w:pPr>
      <w:r>
        <w:t>Pendekatan ini menekankan pola global sepanjang sekuens, namun dapat mereduksi sinyal penting yang bersifat lokal atau ekstrem.</w:t>
      </w:r>
    </w:p>
    <w:p w14:paraId="6A50D80A">
      <w:pPr>
        <w:pStyle w:val="33"/>
        <w:numPr>
          <w:ilvl w:val="0"/>
          <w:numId w:val="12"/>
        </w:numPr>
        <w:spacing w:after="0"/>
        <w:ind w:left="1134" w:hanging="283"/>
      </w:pPr>
      <w:r>
        <w:rPr>
          <w:i/>
        </w:rPr>
        <w:t>Attention Pooling</w:t>
      </w:r>
    </w:p>
    <w:p w14:paraId="3A7CF97C">
      <w:pPr>
        <w:pStyle w:val="33"/>
        <w:spacing w:after="0"/>
        <w:ind w:left="1134"/>
      </w:pPr>
      <w:r>
        <w:rPr>
          <w:i/>
        </w:rPr>
        <w:t xml:space="preserve">Attention pooling </w:t>
      </w:r>
      <w:r>
        <w:t xml:space="preserve">memungkinkan model mempelajari </w:t>
      </w:r>
      <w:r>
        <w:rPr>
          <w:i/>
        </w:rPr>
        <w:t xml:space="preserve">timestep </w:t>
      </w:r>
      <w:r>
        <w:t>mana yang paling relevan terhadap target prediksi, sehingga secara teoretis lebih adaptif dalam menangkap dinamika temporal yang kompleks</w:t>
      </w:r>
      <w:r>
        <w:rPr>
          <w:lang w:val="en-US"/>
        </w:rPr>
        <w:t xml:space="preserve"> </w:t>
      </w:r>
      <w:r>
        <w:rPr>
          <w:lang w:val="en-US"/>
        </w:rPr>
        <w:fldChar w:fldCharType="begin" w:fldLock="1"/>
      </w:r>
      <w:r>
        <w:rPr>
          <w:lang w:val="en-US"/>
        </w:rPr>
        <w:instrText xml:space="preserve">ADDIN CSL_CITATION {"citationItems":[{"id":"ITEM-1","itemData":{"DOI":"10.48550/arxiv.1706.03762","author":[{"dropping-particle":"","family":"Vaswani","given":"Ashish","non-dropping-particle":"","parse-names":false,"suffix":""},{"dropping-particle":"","family":"Shazeer","given":"Noam","non-dropping-particle":"","parse-names":false,"suffix":""},{"dropping-particle":"","family":"Parmar","given":"Niki","non-dropping-particle":"","parse-names":false,"suffix":""},{"dropping-particle":"","family":"Uszkoreit","given":"Jakob","non-dropping-particle":"","parse-names":false,"suffix":""},{"dropping-particle":"","family":"Jones","given":"Llion","non-dropping-particle":"","parse-names":false,"suffix":""},{"dropping-particle":"","family":"Gomez","given":"Aidan N","non-dropping-particle":"","parse-names":false,"suffix":""},{"dropping-particle":"","family":"Kaiser","given":"Łukasz","non-dropping-particle":"","parse-names":false,"suffix":""},{"dropping-particle":"","family":"Polosukhin","given":"Illia","non-dropping-particle":"","parse-names":false,"suffix":""}],"id":"ITEM-1","issued":{"date-parts":[["2017"]]},"title":"Attention Is All You Need","type":"article-journal"},"uris":["http://www.mendeley.com/documents/?uuid=858eda02-8ae4-4465-9d60-a2d1313a91a7"]}],"mendeley":{"formattedCitation":"(Vaswani dkk., 2017)","manualFormatting":"(Vaswani dkk., 2017)","plainTextFormattedCitation":"(Vaswani dkk., 2017)","previouslyFormattedCitation":"(Vaswani &lt;i&gt;et al.&lt;/i&gt;, 2017)"},"properties":{"noteIndex":0},"schema":"https://github.com/citation-style-language/schema/raw/master/csl-citation.json"}</w:instrText>
      </w:r>
      <w:r>
        <w:rPr>
          <w:lang w:val="en-US"/>
        </w:rPr>
        <w:fldChar w:fldCharType="separate"/>
      </w:r>
      <w:r>
        <w:rPr>
          <w:lang w:val="en-US"/>
        </w:rPr>
        <w:t>(Vaswani dkk., 2017)</w:t>
      </w:r>
      <w:r>
        <w:rPr>
          <w:lang w:val="en-US"/>
        </w:rPr>
        <w:fldChar w:fldCharType="end"/>
      </w:r>
      <w:r>
        <w:t>.</w:t>
      </w:r>
    </w:p>
    <w:p w14:paraId="677BDB91">
      <w:pPr>
        <w:pStyle w:val="44"/>
      </w:pPr>
      <w:r>
        <w:t xml:space="preserve">i) Tantangan Optimasi pada </w:t>
      </w:r>
      <w:r>
        <w:rPr>
          <w:i/>
        </w:rPr>
        <w:t>Landscape</w:t>
      </w:r>
      <w:r>
        <w:t xml:space="preserve"> Non-Konveks</w:t>
      </w:r>
    </w:p>
    <w:p w14:paraId="15A33B7F">
      <w:pPr>
        <w:spacing w:after="0"/>
        <w:ind w:left="360" w:firstLine="633"/>
        <w:rPr>
          <w:rFonts w:eastAsia="Times New Roman" w:cs="Times New Roman"/>
          <w:szCs w:val="24"/>
          <w:lang w:val="en-US"/>
        </w:rPr>
      </w:pPr>
      <w:r>
        <w:rPr>
          <w:rFonts w:eastAsia="Times New Roman" w:cs="Times New Roman"/>
          <w:szCs w:val="24"/>
        </w:rPr>
        <w:t xml:space="preserve">Meskipun arsitektur </w:t>
      </w:r>
      <w:r>
        <w:rPr>
          <w:rFonts w:eastAsia="Times New Roman" w:cs="Times New Roman"/>
          <w:i/>
          <w:szCs w:val="24"/>
        </w:rPr>
        <w:t>Transformer</w:t>
      </w:r>
      <w:r>
        <w:rPr>
          <w:rFonts w:eastAsia="Times New Roman" w:cs="Times New Roman"/>
          <w:szCs w:val="24"/>
        </w:rPr>
        <w:t xml:space="preserve"> memiliki keunggulan dalam memodelkan </w:t>
      </w:r>
      <w:r>
        <w:rPr>
          <w:rFonts w:eastAsia="Times New Roman" w:cs="Times New Roman"/>
          <w:szCs w:val="24"/>
          <w:lang w:val="en-US"/>
        </w:rPr>
        <w:t xml:space="preserve">data </w:t>
      </w:r>
      <w:r>
        <w:rPr>
          <w:rFonts w:eastAsia="Times New Roman" w:cs="Times New Roman"/>
          <w:i/>
          <w:szCs w:val="24"/>
          <w:lang w:val="en-US"/>
        </w:rPr>
        <w:t>time-series</w:t>
      </w:r>
      <w:r>
        <w:rPr>
          <w:rFonts w:eastAsia="Times New Roman" w:cs="Times New Roman"/>
          <w:szCs w:val="24"/>
        </w:rPr>
        <w:t xml:space="preserve">, fase pelatihannya menghadirkan tantangan matematis yang signifikan terkait karakteristik permukaan </w:t>
      </w:r>
      <w:r>
        <w:rPr>
          <w:rFonts w:eastAsia="Times New Roman" w:cs="Times New Roman"/>
          <w:i/>
          <w:szCs w:val="24"/>
        </w:rPr>
        <w:t>error</w:t>
      </w:r>
      <w:r>
        <w:rPr>
          <w:rFonts w:eastAsia="Times New Roman" w:cs="Times New Roman"/>
          <w:szCs w:val="24"/>
        </w:rPr>
        <w:t xml:space="preserve"> yang sangat non-konveks </w:t>
      </w:r>
      <w:r>
        <w:rPr>
          <w:rFonts w:eastAsia="Times New Roman" w:cs="Times New Roman"/>
          <w:szCs w:val="24"/>
        </w:rPr>
        <w:fldChar w:fldCharType="begin" w:fldLock="1"/>
      </w:r>
      <w:r>
        <w:rPr>
          <w:rFonts w:eastAsia="Times New Roman" w:cs="Times New Roman"/>
          <w:szCs w:val="24"/>
        </w:rPr>
        <w:instrText xml:space="preserve">ADDIN CSL_CITATION {"citationItems":[{"id":"ITEM-1","itemData":{"DOI":"10.48550/arxiv.1910.01277","author":[{"dropping-particle":"","family":"Bai","given":"Qinbo","non-dropping-particle":"","parse-names":false,"suffix":""},{"dropping-particle":"","family":"Agarwal","given":"Mridul","non-dropping-particle":"","parse-names":false,"suffix":""},{"dropping-particle":"","family":"Aggarwal","given":"Vaneet","non-dropping-particle":"","parse-names":false,"suffix":""}],"id":"ITEM-1","issued":{"date-parts":[["2019"]]},"title":"Escaping Saddle Points for Zeroth-Order Nonconvex Optimization Using Estimated Gradient Descent","type":"article-journal"},"uris":["http://www.mendeley.com/documents/?uuid=f686de1c-ba9a-4b9d-abaa-b16d4086ac59"]}],"mendeley":{"formattedCitation":"(Bai dkk., 2019)","manualFormatting":"(Bai, Agarwal dan Aggarwal, 2019)","plainTextFormattedCitation":"(Bai dkk., 2019)","previouslyFormattedCitation":"(Bai, Agarwal dan Aggarwal, 2019)"},"properties":{"noteIndex":0},"schema":"https://github.com/citation-style-language/schema/raw/master/csl-citation.json"}</w:instrText>
      </w:r>
      <w:r>
        <w:rPr>
          <w:rFonts w:eastAsia="Times New Roman" w:cs="Times New Roman"/>
          <w:szCs w:val="24"/>
        </w:rPr>
        <w:fldChar w:fldCharType="separate"/>
      </w:r>
      <w:r>
        <w:rPr>
          <w:rFonts w:eastAsia="Times New Roman" w:cs="Times New Roman"/>
          <w:szCs w:val="24"/>
        </w:rPr>
        <w:t>(Bai, Agarwal dan Aggarwal, 2019)</w:t>
      </w:r>
      <w:r>
        <w:rPr>
          <w:rFonts w:eastAsia="Times New Roman" w:cs="Times New Roman"/>
          <w:szCs w:val="24"/>
        </w:rPr>
        <w:fldChar w:fldCharType="end"/>
      </w:r>
      <w:r>
        <w:rPr>
          <w:rFonts w:eastAsia="Times New Roman" w:cs="Times New Roman"/>
          <w:szCs w:val="24"/>
        </w:rPr>
        <w:t xml:space="preserve">. </w:t>
      </w:r>
    </w:p>
    <w:p w14:paraId="322E273E">
      <w:pPr>
        <w:keepNext/>
        <w:spacing w:after="0"/>
        <w:ind w:left="360" w:hanging="360"/>
        <w:jc w:val="center"/>
      </w:pPr>
      <w:r>
        <w:rPr>
          <w:rFonts w:eastAsia="Times New Roman" w:cs="Times New Roman"/>
          <w:szCs w:val="24"/>
        </w:rPr>
        <w:drawing>
          <wp:inline distT="0" distB="0" distL="0" distR="0">
            <wp:extent cx="4442460" cy="29610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79850" cy="2986377"/>
                    </a:xfrm>
                    <a:prstGeom prst="rect">
                      <a:avLst/>
                    </a:prstGeom>
                  </pic:spPr>
                </pic:pic>
              </a:graphicData>
            </a:graphic>
          </wp:inline>
        </w:drawing>
      </w:r>
    </w:p>
    <w:p w14:paraId="2FA44087">
      <w:pPr>
        <w:pStyle w:val="11"/>
        <w:keepNext/>
        <w:jc w:val="center"/>
        <w:rPr>
          <w:b/>
          <w:i w:val="0"/>
          <w:color w:val="auto"/>
          <w:sz w:val="24"/>
        </w:rPr>
      </w:pPr>
      <w:bookmarkStart w:id="27" w:name="_Toc236077366"/>
      <w:r>
        <w:rPr>
          <w:b/>
          <w:i w:val="0"/>
          <w:color w:val="auto"/>
          <w:sz w:val="24"/>
        </w:rPr>
        <w:t xml:space="preserve">Gambar 2.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rPr>
        <w:t xml:space="preserve"> </w:t>
      </w:r>
      <w:r>
        <w:rPr>
          <w:b/>
          <w:color w:val="auto"/>
          <w:sz w:val="24"/>
        </w:rPr>
        <w:t>Landscape</w:t>
      </w:r>
      <w:r>
        <w:rPr>
          <w:b/>
          <w:i w:val="0"/>
          <w:color w:val="auto"/>
          <w:sz w:val="24"/>
        </w:rPr>
        <w:t xml:space="preserve"> Konveks</w:t>
      </w:r>
      <w:bookmarkEnd w:id="27"/>
    </w:p>
    <w:p w14:paraId="4B4C4E10">
      <w:pPr>
        <w:keepNext/>
        <w:spacing w:after="0"/>
        <w:jc w:val="center"/>
      </w:pPr>
      <w:r>
        <w:rPr>
          <w:rFonts w:eastAsia="Times New Roman" w:cs="Times New Roman"/>
          <w:szCs w:val="24"/>
        </w:rPr>
        <w:drawing>
          <wp:inline distT="0" distB="0" distL="0" distR="0">
            <wp:extent cx="4366260" cy="29108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9895" cy="2926412"/>
                    </a:xfrm>
                    <a:prstGeom prst="rect">
                      <a:avLst/>
                    </a:prstGeom>
                  </pic:spPr>
                </pic:pic>
              </a:graphicData>
            </a:graphic>
          </wp:inline>
        </w:drawing>
      </w:r>
    </w:p>
    <w:p w14:paraId="495B9F8B">
      <w:pPr>
        <w:pStyle w:val="11"/>
        <w:keepNext/>
        <w:spacing w:after="0" w:line="276" w:lineRule="auto"/>
        <w:jc w:val="center"/>
        <w:rPr>
          <w:b/>
          <w:i w:val="0"/>
          <w:color w:val="auto"/>
          <w:sz w:val="24"/>
        </w:rPr>
      </w:pPr>
      <w:bookmarkStart w:id="28" w:name="_Toc236077367"/>
      <w:r>
        <w:rPr>
          <w:b/>
          <w:i w:val="0"/>
          <w:color w:val="auto"/>
          <w:sz w:val="24"/>
        </w:rPr>
        <w:t>Gambar 2.</w:t>
      </w:r>
      <w:r>
        <w:rPr>
          <w:b/>
          <w:i w:val="0"/>
          <w:color w:val="auto"/>
          <w:sz w:val="24"/>
          <w:lang w:val="en-US"/>
        </w:rPr>
        <w:t xml:space="preserve">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3</w:t>
      </w:r>
      <w:r>
        <w:rPr>
          <w:b/>
          <w:i w:val="0"/>
          <w:color w:val="auto"/>
          <w:sz w:val="24"/>
        </w:rPr>
        <w:fldChar w:fldCharType="end"/>
      </w:r>
      <w:r>
        <w:rPr>
          <w:b/>
          <w:i w:val="0"/>
          <w:color w:val="auto"/>
          <w:sz w:val="24"/>
        </w:rPr>
        <w:t xml:space="preserve"> </w:t>
      </w:r>
      <w:r>
        <w:rPr>
          <w:b/>
          <w:color w:val="auto"/>
          <w:sz w:val="24"/>
        </w:rPr>
        <w:t>Landscape</w:t>
      </w:r>
      <w:r>
        <w:rPr>
          <w:b/>
          <w:i w:val="0"/>
          <w:color w:val="auto"/>
          <w:sz w:val="24"/>
        </w:rPr>
        <w:t xml:space="preserve"> Non-Konveks</w:t>
      </w:r>
      <w:bookmarkEnd w:id="28"/>
    </w:p>
    <w:p w14:paraId="5B046844">
      <w:pPr>
        <w:spacing w:line="276" w:lineRule="auto"/>
        <w:jc w:val="center"/>
        <w:rPr>
          <w:rFonts w:eastAsia="Times New Roman" w:cs="Times New Roman"/>
          <w:szCs w:val="24"/>
          <w:lang w:val="en-US"/>
        </w:rPr>
      </w:pPr>
      <w:r>
        <w:rPr>
          <w:rFonts w:eastAsia="Times New Roman" w:cs="Times New Roman"/>
          <w:szCs w:val="24"/>
          <w:lang w:val="en-US"/>
        </w:rPr>
        <w:t xml:space="preserve">Sumber: </w:t>
      </w:r>
      <w:r>
        <w:rPr>
          <w:rFonts w:eastAsia="Times New Roman" w:cs="Times New Roman"/>
          <w:szCs w:val="24"/>
          <w:lang w:val="en-US"/>
        </w:rPr>
        <w:fldChar w:fldCharType="begin" w:fldLock="1"/>
      </w:r>
      <w:r>
        <w:rPr>
          <w:rFonts w:eastAsia="Times New Roman" w:cs="Times New Roman"/>
          <w:szCs w:val="24"/>
          <w:lang w:val="en-US"/>
        </w:rPr>
        <w:instrText xml:space="preserve">ADDIN CSL_CITATION {"citationItems":[{"id":"ITEM-1","itemData":{"DOI":"10.1109/TWC.2019.2934107","ISSN":"1558-2248 VO  - 18","author":[{"dropping-particle":"","family":"Zhou","given":"B","non-dropping-particle":"","parse-names":false,"suffix":""},{"dropping-particle":"","family":"Liu","given":"A","non-dropping-particle":"","parse-names":false,"suffix":""},{"dropping-particle":"","family":"Lau","given":"V","non-dropping-particle":"","parse-names":false,"suffix":""}],"container-title":"IEEE Transactions on Wireless Communications","id":"ITEM-1","issue":"11","issued":{"date-parts":[["2019"]]},"page":"5181-5195","title":"Joint User Location and Orientation Estimation for Visible Light Communication Systems With Unknown Power Emission","type":"article-journal","volume":"18"},"uris":["http://www.mendeley.com/documents/?uuid=05ab8749-af5c-45f5-a85b-ac4d7180f8ba"]}],"mendeley":{"formattedCitation":"(Zhou dkk., 2019)","manualFormatting":"Zhou, Liu dan Lau, 2019","plainTextFormattedCitation":"(Zhou dkk., 2019)","previouslyFormattedCitation":"(Zhou, Liu dan Lau, 2019)"},"properties":{"noteIndex":0},"schema":"https://github.com/citation-style-language/schema/raw/master/csl-citation.json"}</w:instrText>
      </w:r>
      <w:r>
        <w:rPr>
          <w:rFonts w:eastAsia="Times New Roman" w:cs="Times New Roman"/>
          <w:szCs w:val="24"/>
          <w:lang w:val="en-US"/>
        </w:rPr>
        <w:fldChar w:fldCharType="separate"/>
      </w:r>
      <w:r>
        <w:rPr>
          <w:rFonts w:eastAsia="Times New Roman" w:cs="Times New Roman"/>
          <w:szCs w:val="24"/>
          <w:lang w:val="en-US"/>
        </w:rPr>
        <w:t>Zhou, Liu dan Lau, 2019</w:t>
      </w:r>
      <w:r>
        <w:rPr>
          <w:rFonts w:eastAsia="Times New Roman" w:cs="Times New Roman"/>
          <w:szCs w:val="24"/>
          <w:lang w:val="en-US"/>
        </w:rPr>
        <w:fldChar w:fldCharType="end"/>
      </w:r>
    </w:p>
    <w:p w14:paraId="5320F190">
      <w:pPr>
        <w:ind w:left="360" w:firstLine="633"/>
        <w:rPr>
          <w:rFonts w:eastAsia="Times New Roman" w:cs="Times New Roman"/>
          <w:szCs w:val="24"/>
          <w:lang w:val="en-US"/>
        </w:rPr>
      </w:pPr>
      <w:r>
        <w:rPr>
          <w:lang w:val="en-US"/>
        </w:rPr>
        <w:t xml:space="preserve">Gambar 2. 2 dan 2. 3 mengilustrasikan </w:t>
      </w:r>
      <w:r>
        <w:rPr>
          <w:i/>
          <w:lang w:val="en-US"/>
        </w:rPr>
        <w:t xml:space="preserve">Landscape </w:t>
      </w:r>
      <w:r>
        <w:rPr>
          <w:lang w:val="en-US"/>
        </w:rPr>
        <w:t>atau ruang pencarian konveks dan non-konveks. R</w:t>
      </w:r>
      <w:r>
        <w:t>uang pencarian solusi terbaik dalam model ini sangat rumit dan tidak beraturan (non-konveks</w:t>
      </w:r>
      <w:r>
        <w:rPr>
          <w:lang w:val="en-US"/>
        </w:rPr>
        <w:t xml:space="preserve">), </w:t>
      </w:r>
      <w:r>
        <w:t>Di dalamnya terdapat ribuan 'jebakan' berupa solusi semu (</w:t>
      </w:r>
      <w:r>
        <w:rPr>
          <w:i/>
          <w:iCs/>
        </w:rPr>
        <w:t>local optima</w:t>
      </w:r>
      <w:r>
        <w:t>) dan jalur buntu yang bisa membuat proses belajar model terhenti sebelum mencapai hasil yang paling akurat</w:t>
      </w:r>
      <w:r>
        <w:rPr>
          <w:rFonts w:eastAsia="Times New Roman" w:cs="Times New Roman"/>
          <w:szCs w:val="24"/>
          <w:lang w:val="en-US"/>
        </w:rPr>
        <w:t xml:space="preserve">. </w:t>
      </w:r>
      <w:r>
        <w:rPr>
          <w:rFonts w:eastAsia="Times New Roman" w:cs="Times New Roman"/>
          <w:szCs w:val="24"/>
        </w:rPr>
        <w:t xml:space="preserve">Oleh karena itu, pendekatan </w:t>
      </w:r>
      <w:r>
        <w:rPr>
          <w:rFonts w:eastAsia="Times New Roman" w:cs="Times New Roman"/>
          <w:szCs w:val="24"/>
          <w:lang w:val="en-US"/>
        </w:rPr>
        <w:t>biasa</w:t>
      </w:r>
      <w:r>
        <w:rPr>
          <w:rFonts w:eastAsia="Times New Roman" w:cs="Times New Roman"/>
          <w:szCs w:val="24"/>
        </w:rPr>
        <w:t xml:space="preserve"> semata dinilai tidak memadai, sehingga diperlukan strategi optimasi adaptif dengan </w:t>
      </w:r>
      <w:r>
        <w:rPr>
          <w:rFonts w:eastAsia="Times New Roman" w:cs="Times New Roman"/>
          <w:szCs w:val="24"/>
          <w:lang w:val="en-US"/>
        </w:rPr>
        <w:t>kemampuan</w:t>
      </w:r>
      <w:r>
        <w:rPr>
          <w:rFonts w:eastAsia="Times New Roman" w:cs="Times New Roman"/>
          <w:szCs w:val="24"/>
        </w:rPr>
        <w:t xml:space="preserve"> eksplorasi yang agresif untuk </w:t>
      </w:r>
      <w:r>
        <w:rPr>
          <w:rFonts w:eastAsia="Times New Roman" w:cs="Times New Roman"/>
          <w:szCs w:val="24"/>
          <w:lang w:val="en-US"/>
        </w:rPr>
        <w:t>m</w:t>
      </w:r>
      <w:r>
        <w:t xml:space="preserve">emastikan model tidak terjebak dalam solusi yang salah dan mampu menemukan </w:t>
      </w:r>
      <w:r>
        <w:rPr>
          <w:lang w:val="en-US"/>
        </w:rPr>
        <w:t>parameter</w:t>
      </w:r>
      <w:r>
        <w:t xml:space="preserve"> terbaik secara menyeluruh</w:t>
      </w:r>
      <w:r>
        <w:rPr>
          <w:lang w:val="en-US"/>
        </w:rPr>
        <w:t xml:space="preserve"> </w:t>
      </w:r>
      <w:r>
        <w:rPr>
          <w:rFonts w:eastAsia="Times New Roman" w:cs="Times New Roman"/>
          <w:szCs w:val="24"/>
        </w:rPr>
        <w:fldChar w:fldCharType="begin" w:fldLock="1"/>
      </w:r>
      <w:r>
        <w:rPr>
          <w:rFonts w:eastAsia="Times New Roman" w:cs="Times New Roman"/>
          <w:szCs w:val="24"/>
        </w:rPr>
        <w:instrText xml:space="preserve">ADDIN CSL_CITATION {"citationItems":[{"id":"ITEM-1","itemData":{"DOI":"10.1073/pnas.2015617118","author":[{"dropping-particle":"","family":"Feng","given":"Yu","non-dropping-particle":"","parse-names":false,"suffix":""},{"dropping-particle":"","family":"Tu","given":"Yuhai","non-dropping-particle":"","parse-names":false,"suffix":""}],"container-title":"Proceedings of the National Academy of Sciences","id":"ITEM-1","issue":"9","issued":{"date-parts":[["2021"]]},"title":"The Inverse Variance–flatness Relation in Stochastic Gradient Descent Is Critical for Finding Flat Minima","type":"article-journal","volume":"118"},"uris":["http://www.mendeley.com/documents/?uuid=480b6e44-038b-41b9-a4d5-17df3e562aa9"]}],"mendeley":{"formattedCitation":"(Feng dan Tu, 2021)","manualFormatting":"(Feng dan Tu, 2021)","plainTextFormattedCitation":"(Feng dan Tu, 2021)","previouslyFormattedCitation":"(Feng dan Tu, 2021)"},"properties":{"noteIndex":0},"schema":"https://github.com/citation-style-language/schema/raw/master/csl-citation.json"}</w:instrText>
      </w:r>
      <w:r>
        <w:rPr>
          <w:rFonts w:eastAsia="Times New Roman" w:cs="Times New Roman"/>
          <w:szCs w:val="24"/>
        </w:rPr>
        <w:fldChar w:fldCharType="separate"/>
      </w:r>
      <w:r>
        <w:rPr>
          <w:rFonts w:eastAsia="Times New Roman" w:cs="Times New Roman"/>
          <w:szCs w:val="24"/>
        </w:rPr>
        <w:t>(Feng dan Tu, 2021)</w:t>
      </w:r>
      <w:r>
        <w:rPr>
          <w:rFonts w:eastAsia="Times New Roman" w:cs="Times New Roman"/>
          <w:szCs w:val="24"/>
        </w:rPr>
        <w:fldChar w:fldCharType="end"/>
      </w:r>
      <w:r>
        <w:rPr>
          <w:rFonts w:eastAsia="Times New Roman" w:cs="Times New Roman"/>
          <w:szCs w:val="24"/>
          <w:lang w:val="en-US"/>
        </w:rPr>
        <w:t>.</w:t>
      </w:r>
    </w:p>
    <w:p w14:paraId="31DFFAA1">
      <w:pPr>
        <w:pStyle w:val="4"/>
        <w:rPr>
          <w:shd w:val="clear" w:color="auto" w:fill="FFFFFF"/>
        </w:rPr>
      </w:pPr>
      <w:bookmarkStart w:id="29" w:name="_Toc236076727"/>
      <w:r>
        <w:t>2.2.</w:t>
      </w:r>
      <w:r>
        <w:rPr>
          <w:lang w:val="en-US"/>
        </w:rPr>
        <w:t>2</w:t>
      </w:r>
      <w:r>
        <w:t xml:space="preserve"> </w:t>
      </w:r>
      <w:r>
        <w:rPr>
          <w:shd w:val="clear" w:color="auto" w:fill="FFFFFF"/>
        </w:rPr>
        <w:t>Metaheuristik dan Optimasi</w:t>
      </w:r>
      <w:bookmarkEnd w:id="29"/>
    </w:p>
    <w:p w14:paraId="789EB9BE">
      <w:pPr>
        <w:pStyle w:val="44"/>
      </w:pPr>
      <w:r>
        <w:t>a) Algoritma Metaheuristik</w:t>
      </w:r>
      <w:r>
        <w:tab/>
      </w:r>
    </w:p>
    <w:p w14:paraId="7C48A442">
      <w:pPr>
        <w:spacing w:after="0"/>
        <w:ind w:left="360" w:firstLine="633"/>
        <w:rPr>
          <w:lang w:val="en-US"/>
        </w:rPr>
      </w:pPr>
      <w:r>
        <w:rPr>
          <w:lang w:val="en-US"/>
        </w:rPr>
        <w:t xml:space="preserve">Algoritma metaheuristik adalah teknik optimasi yang menggunakan pendekatan pencarian stokastik (metode acak) untuk menemukan solusi terbaik dari masalah yang kompleks, non-linear, dan non-konveks. Pendekatan ini melibatkan penggunaan elemen acak yang terkontrol, memungkinkan algoritma untuk mengeksplorasi ruang solusi yang lebih luas, sehingga mengurangi kemungkinan terjebak dalam solusi lokal </w:t>
      </w:r>
      <w:r>
        <w:rPr>
          <w:lang w:val="en-US"/>
        </w:rPr>
        <w:fldChar w:fldCharType="begin" w:fldLock="1"/>
      </w:r>
      <w:r>
        <w:rPr>
          <w:lang w:val="en-US"/>
        </w:rPr>
        <w:instrText xml:space="preserve">ADDIN CSL_CITATION {"citationItems":[{"id":"ITEM-1","itemData":{"DOI":"10.12785/amis/080306","abstract":" Abstract:In nature-inspired metaheuristic algorithms, two key components are local intensification and global diversification, and their interaction can significantly affect the efficiency of a metaheuristic algorithm. However, there is no rule for how to balance these important components. In this paper, we provide a first attempt to give some theoretical basis for the optimal balance of exploitation and exploration for 2D multimodal objective functions. Then, we use it for choosing algorithm-dependent parameters. Finally, we use the recently developed eagle strategy and cuckoo search to solve two benchmarks so as to confirm if the optimal balance can be achieved in higher dimensions. For multimodal problems, computational effort should focus on the global explorative search, rather than intensive local search. We also briefly discuss the implications for further research. ","author":[{"dropping-particle":"","family":"Yang","given":"Xin-She","non-dropping-particle":"","parse-names":false,"suffix":""},{"dropping-particle":"","family":"Deb","given":"Suash","non-dropping-particle":"","parse-names":false,"suffix":""},{"dropping-particle":"","family":"Fong","given":"Simon","non-dropping-particle":"","parse-names":false,"suffix":""}],"container-title":"Applied Mathematics &amp;Amp; Information Sciences","id":"ITEM-1","issue":"3","issued":{"date-parts":[["2014"]]},"page":"977-983","title":"Metaheuristic Algorithms: Optimal Balance of Intensification and Diversification","type":"article-journal","volume":"8"},"uris":["http://www.mendeley.com/documents/?uuid=883016ed-8b19-4c72-b069-fa9bd3d004bd"]}],"mendeley":{"formattedCitation":"(Yang dkk., 2014)","manualFormatting":"(Yang, Deb dan Fong, 2014)","plainTextFormattedCitation":"(Yang dkk., 2014)","previouslyFormattedCitation":"(Yang, Deb dan Fong, 2014)"},"properties":{"noteIndex":0},"schema":"https://github.com/citation-style-language/schema/raw/master/csl-citation.json"}</w:instrText>
      </w:r>
      <w:r>
        <w:rPr>
          <w:lang w:val="en-US"/>
        </w:rPr>
        <w:fldChar w:fldCharType="separate"/>
      </w:r>
      <w:r>
        <w:rPr>
          <w:lang w:val="en-US"/>
        </w:rPr>
        <w:t>(Yang, Deb dan Fong, 2014)</w:t>
      </w:r>
      <w:r>
        <w:rPr>
          <w:lang w:val="en-US"/>
        </w:rPr>
        <w:fldChar w:fldCharType="end"/>
      </w:r>
      <w:r>
        <w:rPr>
          <w:lang w:val="en-US"/>
        </w:rPr>
        <w:t xml:space="preserve">. Metaheuristik bekerja dengan menyeimbangkan antara eksplorasi dan eksploitasi. Eksplorasi merujuk pada upaya untuk mengidentifikasi area yang tidak dikenal dalam ruang solusi, sedangkan eksploitasi berfokus pada peningkatan solusi yang sudah ditemukan </w:t>
      </w:r>
      <w:r>
        <w:rPr>
          <w:lang w:val="en-US"/>
        </w:rPr>
        <w:fldChar w:fldCharType="begin" w:fldLock="1"/>
      </w:r>
      <w:r>
        <w:rPr>
          <w:lang w:val="en-US"/>
        </w:rPr>
        <w:instrText xml:space="preserve">ADDIN CSL_CITATION {"citationItems":[{"id":"ITEM-1","itemData":{"DOI":"10.1186/s40537-025-01196-5","author":[{"dropping-particle":"","family":"Nayak","given":"G H Harish","non-dropping-particle":"","parse-names":false,"suffix":""},{"dropping-particle":"","family":"Alam","given":"Md. Wasi","non-dropping-particle":"","parse-names":false,"suffix":""},{"dropping-particle":"","family":"Naik","given":"B Samuel","non-dropping-particle":"","parse-names":false,"suffix":""},{"dropping-particle":"","family":"Varshini","given":"B S","non-dropping-particle":"","parse-names":false,"suffix":""},{"dropping-particle":"","family":"Avinash","given":"G","non-dropping-particle":"","parse-names":false,"suffix":""},{"dropping-particle":"","family":"Kumar","given":"Rajeev Ranjan","non-dropping-particle":"","parse-names":false,"suffix":""},{"dropping-particle":"","family":"Ray","given":"Mrinmoy","non-dropping-particle":"","parse-names":false,"suffix":""},{"dropping-particle":"","family":"Singh","given":"K N","non-dropping-particle":"","parse-names":false,"suffix":""}],"container-title":"Journal of Big Data","id":"ITEM-1","issue":"1","issued":{"date-parts":[["2025"]]},"title":"Meta-Transformer: Leveraging Metaheuristic Algorithms for Agricultural Commodity Price Forecasting","type":"article-journal","volume":"12"},"uris":["http://www.mendeley.com/documents/?uuid=39721585-2d42-436c-892a-6a6e6a5c4ee7"]}],"mendeley":{"formattedCitation":"(Nayak dkk., 2025)","manualFormatting":"(Nayak dkk., 2025)","plainTextFormattedCitation":"(Nayak dkk., 2025)","previouslyFormattedCitation":"(Nayak &lt;i&gt;et al.&lt;/i&gt;, 2025)"},"properties":{"noteIndex":0},"schema":"https://github.com/citation-style-language/schema/raw/master/csl-citation.json"}</w:instrText>
      </w:r>
      <w:r>
        <w:rPr>
          <w:lang w:val="en-US"/>
        </w:rPr>
        <w:fldChar w:fldCharType="separate"/>
      </w:r>
      <w:r>
        <w:rPr>
          <w:lang w:val="en-US"/>
        </w:rPr>
        <w:t>(Nayak dkk., 2025)</w:t>
      </w:r>
      <w:r>
        <w:rPr>
          <w:lang w:val="en-US"/>
        </w:rPr>
        <w:fldChar w:fldCharType="end"/>
      </w:r>
      <w:r>
        <w:rPr>
          <w:lang w:val="en-US"/>
        </w:rPr>
        <w:t>.</w:t>
      </w:r>
    </w:p>
    <w:p w14:paraId="09D26A19">
      <w:pPr>
        <w:pStyle w:val="44"/>
      </w:pPr>
      <w:r>
        <w:t xml:space="preserve">b) </w:t>
      </w:r>
      <w:r>
        <w:rPr>
          <w:i/>
        </w:rPr>
        <w:t>Flower Pollination Algorithm</w:t>
      </w:r>
      <w:r>
        <w:t xml:space="preserve"> (FPA)</w:t>
      </w:r>
    </w:p>
    <w:p w14:paraId="683CE6C5">
      <w:pPr>
        <w:keepNext/>
        <w:spacing w:after="0"/>
        <w:jc w:val="center"/>
      </w:pPr>
      <w:r>
        <w:rPr>
          <w:lang w:val="en-US"/>
        </w:rPr>
        <w:drawing>
          <wp:inline distT="0" distB="0" distL="0" distR="0">
            <wp:extent cx="4732020" cy="2804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71513" cy="2827564"/>
                    </a:xfrm>
                    <a:prstGeom prst="rect">
                      <a:avLst/>
                    </a:prstGeom>
                  </pic:spPr>
                </pic:pic>
              </a:graphicData>
            </a:graphic>
          </wp:inline>
        </w:drawing>
      </w:r>
    </w:p>
    <w:p w14:paraId="036DFB6C">
      <w:pPr>
        <w:pStyle w:val="11"/>
        <w:keepNext/>
        <w:jc w:val="center"/>
        <w:rPr>
          <w:b/>
          <w:i w:val="0"/>
          <w:color w:val="auto"/>
          <w:sz w:val="24"/>
        </w:rPr>
      </w:pPr>
      <w:bookmarkStart w:id="30" w:name="_Toc236077368"/>
      <w:r>
        <w:rPr>
          <w:b/>
          <w:i w:val="0"/>
          <w:color w:val="auto"/>
          <w:sz w:val="24"/>
        </w:rPr>
        <w:t>Gambar 2.</w:t>
      </w:r>
      <w:r>
        <w:rPr>
          <w:b/>
          <w:i w:val="0"/>
          <w:color w:val="auto"/>
          <w:sz w:val="24"/>
          <w:lang w:val="en-US"/>
        </w:rPr>
        <w:t xml:space="preserve">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4</w:t>
      </w:r>
      <w:r>
        <w:rPr>
          <w:b/>
          <w:i w:val="0"/>
          <w:color w:val="auto"/>
          <w:sz w:val="24"/>
        </w:rPr>
        <w:fldChar w:fldCharType="end"/>
      </w:r>
      <w:r>
        <w:rPr>
          <w:b/>
          <w:i w:val="0"/>
          <w:color w:val="auto"/>
          <w:sz w:val="24"/>
        </w:rPr>
        <w:t xml:space="preserve"> Analogi </w:t>
      </w:r>
      <w:r>
        <w:rPr>
          <w:b/>
          <w:color w:val="auto"/>
          <w:sz w:val="24"/>
        </w:rPr>
        <w:t>Flower Pollination Algorithm</w:t>
      </w:r>
      <w:r>
        <w:rPr>
          <w:b/>
          <w:i w:val="0"/>
          <w:color w:val="auto"/>
          <w:sz w:val="24"/>
        </w:rPr>
        <w:t xml:space="preserve"> (FPA)</w:t>
      </w:r>
      <w:bookmarkEnd w:id="30"/>
    </w:p>
    <w:p w14:paraId="2D530845">
      <w:pPr>
        <w:spacing w:after="0"/>
        <w:ind w:left="360" w:firstLine="633"/>
        <w:rPr>
          <w:lang w:val="en-US"/>
        </w:rPr>
      </w:pPr>
      <w:r>
        <w:rPr>
          <w:i/>
          <w:lang w:val="en-US"/>
        </w:rPr>
        <w:t>Flower Pollination Algorithm</w:t>
      </w:r>
      <w:r>
        <w:rPr>
          <w:lang w:val="en-US"/>
        </w:rPr>
        <w:t xml:space="preserve"> (FPA) ditemukan oleh Xin-She Yang pada tahun 2012</w:t>
      </w:r>
      <w:r>
        <w:t xml:space="preserve">, </w:t>
      </w:r>
      <w:r>
        <w:rPr>
          <w:lang w:val="en-US"/>
        </w:rPr>
        <w:t xml:space="preserve">adalah salah satu algoritma metaheuristik yang </w:t>
      </w:r>
      <w:r>
        <w:t>terinspirasi dari</w:t>
      </w:r>
      <w:r>
        <w:rPr>
          <w:lang w:val="en-US"/>
        </w:rPr>
        <w:t xml:space="preserve"> penyerbukan alami pada tumbuhan berbunga </w:t>
      </w:r>
      <w:r>
        <w:fldChar w:fldCharType="begin" w:fldLock="1"/>
      </w:r>
      <w:r>
        <w:instrText xml:space="preserve">ADDIN CSL_CITATION {"citationItems":[{"id":"ITEM-1","itemData":{"DOI":"10.1007/978-3-642-32894-7_27","abstract":" AbstractFlower pollination is an intriguing process in the natural world. Its evolutionary characteristics can be used to design new optimization algorithms. In this paper, we propose a new algorithm, namely, flower pollination algorithm, inspired by the pollination process of flowers. We first use ten test functions to validate the new algorithm, and compare its performance with genetic algorithms and particle swarm optimization. Our simulation results show the flower algorithm is more efficient than both GA and PSO. We also use the flower algorithm to solve a nonlinear design benchmark, which shows the convergence rate is almost exponential. ","author":[{"dropping-particle":"","family":"Yang","given":"Xin-She","non-dropping-particle":"","parse-names":false,"suffix":""}],"container-title":"Lecture Notes in Computer Science","id":"ITEM-1","issued":{"date-parts":[["2012"]]},"page":"240-249","title":"Flower Pollination Algorithm for Global Optimization","type":"article-journal"},"uris":["http://www.mendeley.com/documents/?uuid=b0cf6e08-7536-4e55-b2e6-9a8bbaabe1ea"]}],"mendeley":{"formattedCitation":"(Yang, 2012)","plainTextFormattedCitation":"(Yang, 2012)","previouslyFormattedCitation":"(Yang, 2012)"},"properties":{"noteIndex":0},"schema":"https://github.com/citation-style-language/schema/raw/master/csl-citation.json"}</w:instrText>
      </w:r>
      <w:r>
        <w:fldChar w:fldCharType="separate"/>
      </w:r>
      <w:r>
        <w:t>(Yang, 2012)</w:t>
      </w:r>
      <w:r>
        <w:fldChar w:fldCharType="end"/>
      </w:r>
      <w:r>
        <w:t>.</w:t>
      </w:r>
      <w:r>
        <w:rPr>
          <w:lang w:val="en-US"/>
        </w:rPr>
        <w:t xml:space="preserve"> FPA dianalogikan seperti di Gambar 2. 4</w:t>
      </w:r>
    </w:p>
    <w:p w14:paraId="65711515">
      <w:pPr>
        <w:spacing w:after="0"/>
        <w:ind w:left="360" w:firstLine="633"/>
      </w:pPr>
      <w:r>
        <w:rPr>
          <w:lang w:val="en-US"/>
        </w:rPr>
        <w:t>Proses ini melibatkan interaksi antara bunga dan agen penyerbuk seperti lebah</w:t>
      </w:r>
      <w:r>
        <w:t>, kupu-kupu</w:t>
      </w:r>
      <w:r>
        <w:rPr>
          <w:lang w:val="en-US"/>
        </w:rPr>
        <w:t xml:space="preserve">, </w:t>
      </w:r>
      <w:r>
        <w:t xml:space="preserve">maupun angin. FPA dirancang untuk menyeimbangkan proses eksplorasi dan eksploitasi dalam pencarian solusi optimal melalui dua mekanisme utama: </w:t>
      </w:r>
      <w:r>
        <w:rPr>
          <w:i/>
          <w:iCs/>
        </w:rPr>
        <w:t>global pollination</w:t>
      </w:r>
      <w:r>
        <w:t xml:space="preserve"> (biotik) dan </w:t>
      </w:r>
      <w:r>
        <w:rPr>
          <w:i/>
          <w:iCs/>
        </w:rPr>
        <w:t>local pollination</w:t>
      </w:r>
      <w:r>
        <w:t xml:space="preserve"> (abiotik). Keseimbangan kedua mekanisme ini memungkinkan FPA menjelajahi ruang solusi secara luas sekaligus </w:t>
      </w:r>
      <w:r>
        <w:rPr>
          <w:lang w:val="en-US"/>
        </w:rPr>
        <w:t xml:space="preserve">fokus eksploitasi </w:t>
      </w:r>
      <w:r>
        <w:t xml:space="preserve">secara lokal </w:t>
      </w:r>
      <w:r>
        <w:fldChar w:fldCharType="begin" w:fldLock="1"/>
      </w:r>
      <w:r>
        <w:instrText xml:space="preserve">ADDIN CSL_CITATION {"citationItems":[{"id":"ITEM-1","itemData":{"DOI":"10.1007/978-3-642-32894-7_27","abstract":" AbstractFlower pollination is an intriguing process in the natural world. Its evolutionary characteristics can be used to design new optimization algorithms. In this paper, we propose a new algorithm, namely, flower pollination algorithm, inspired by the pollination process of flowers. We first use ten test functions to validate the new algorithm, and compare its performance with genetic algorithms and particle swarm optimization. Our simulation results show the flower algorithm is more efficient than both GA and PSO. We also use the flower algorithm to solve a nonlinear design benchmark, which shows the convergence rate is almost exponential. ","author":[{"dropping-particle":"","family":"Yang","given":"Xin-She","non-dropping-particle":"","parse-names":false,"suffix":""}],"container-title":"Lecture Notes in Computer Science","id":"ITEM-1","issued":{"date-parts":[["2012"]]},"page":"240-249","title":"Flower Pollination Algorithm for Global Optimization","type":"article-journal"},"uris":["http://www.mendeley.com/documents/?uuid=b0cf6e08-7536-4e55-b2e6-9a8bbaabe1ea"]}],"mendeley":{"formattedCitation":"(Yang, 2012)","plainTextFormattedCitation":"(Yang, 2012)","previouslyFormattedCitation":"(Yang, 2012)"},"properties":{"noteIndex":0},"schema":"https://github.com/citation-style-language/schema/raw/master/csl-citation.json"}</w:instrText>
      </w:r>
      <w:r>
        <w:fldChar w:fldCharType="separate"/>
      </w:r>
      <w:r>
        <w:t>(Yang, 2012)</w:t>
      </w:r>
      <w:r>
        <w:fldChar w:fldCharType="end"/>
      </w:r>
      <w:r>
        <w:t>.</w:t>
      </w:r>
      <w:r>
        <w:rPr>
          <w:lang w:val="en-US"/>
        </w:rPr>
        <w:t xml:space="preserve"> FPA memiliki 4 aturan atau pendekatan sebagai berikut:</w:t>
      </w:r>
    </w:p>
    <w:p w14:paraId="3E42B48D">
      <w:pPr>
        <w:pStyle w:val="33"/>
        <w:numPr>
          <w:ilvl w:val="0"/>
          <w:numId w:val="13"/>
        </w:numPr>
        <w:spacing w:after="0"/>
      </w:pPr>
      <w:r>
        <w:rPr>
          <w:lang w:val="en-US"/>
        </w:rPr>
        <w:t>Aturan 1: Penyerbukan b</w:t>
      </w:r>
      <w:r>
        <w:t>iotik dan penyerbukan silang (</w:t>
      </w:r>
      <w:r>
        <w:rPr>
          <w:i/>
          <w:iCs/>
        </w:rPr>
        <w:t>cross-pollination</w:t>
      </w:r>
      <w:r>
        <w:t>) menginspirasi proses penyerbukan global</w:t>
      </w:r>
      <w:r>
        <w:rPr>
          <w:lang w:val="en-US"/>
        </w:rPr>
        <w:t xml:space="preserve"> (</w:t>
      </w:r>
      <w:r>
        <w:rPr>
          <w:i/>
        </w:rPr>
        <w:t>global pollination</w:t>
      </w:r>
      <w:r>
        <w:rPr>
          <w:lang w:val="en-US"/>
        </w:rPr>
        <w:t>)</w:t>
      </w:r>
      <w:r>
        <w:t xml:space="preserve">, serangga pembawa serbuk </w:t>
      </w:r>
      <w:r>
        <w:rPr>
          <w:lang w:val="en-US"/>
        </w:rPr>
        <w:t>sari bergerak p</w:t>
      </w:r>
      <w:r>
        <w:t xml:space="preserve">ada jalur yang mengikuti </w:t>
      </w:r>
      <w:r>
        <w:rPr>
          <w:i/>
        </w:rPr>
        <w:t>Lévy Flight</w:t>
      </w:r>
      <w:r>
        <w:rPr>
          <w:i/>
          <w:lang w:val="en-US"/>
        </w:rPr>
        <w:t>.</w:t>
      </w:r>
    </w:p>
    <w:p w14:paraId="20154A9C">
      <w:pPr>
        <w:pStyle w:val="33"/>
        <w:numPr>
          <w:ilvl w:val="0"/>
          <w:numId w:val="13"/>
        </w:numPr>
        <w:spacing w:after="0"/>
      </w:pPr>
      <w:r>
        <w:rPr>
          <w:lang w:val="en-US"/>
        </w:rPr>
        <w:t xml:space="preserve">Aturan 2: Penyerbukan abiotik dan penyerbukan mandiri </w:t>
      </w:r>
      <w:r>
        <w:t>(</w:t>
      </w:r>
      <w:r>
        <w:rPr>
          <w:i/>
          <w:iCs/>
        </w:rPr>
        <w:t>self-pollination</w:t>
      </w:r>
      <w:r>
        <w:t>)</w:t>
      </w:r>
      <w:r>
        <w:rPr>
          <w:lang w:val="en-US"/>
        </w:rPr>
        <w:t xml:space="preserve"> digunakan untuk penyerbukan lokal.</w:t>
      </w:r>
    </w:p>
    <w:p w14:paraId="6BDBFDCA">
      <w:pPr>
        <w:pStyle w:val="33"/>
        <w:numPr>
          <w:ilvl w:val="0"/>
          <w:numId w:val="13"/>
        </w:numPr>
        <w:spacing w:after="0"/>
      </w:pPr>
      <w:r>
        <w:rPr>
          <w:lang w:val="en-US"/>
        </w:rPr>
        <w:t>Aturan 3: Penyerbuk/</w:t>
      </w:r>
      <w:r>
        <w:rPr>
          <w:i/>
          <w:lang w:val="en-US"/>
        </w:rPr>
        <w:t>Pollinator</w:t>
      </w:r>
      <w:r>
        <w:rPr>
          <w:lang w:val="en-US"/>
        </w:rPr>
        <w:t xml:space="preserve"> seperti serangga </w:t>
      </w:r>
      <w:r>
        <w:t xml:space="preserve">cenderung mengembangkan </w:t>
      </w:r>
      <w:r>
        <w:rPr>
          <w:i/>
          <w:iCs/>
        </w:rPr>
        <w:t>flower constancy</w:t>
      </w:r>
      <w:r>
        <w:t xml:space="preserve">, yaitu kemampuan untuk mengenali dan mengunjungi spesies bunga yang sama. </w:t>
      </w:r>
    </w:p>
    <w:p w14:paraId="71A41448">
      <w:pPr>
        <w:pStyle w:val="33"/>
        <w:numPr>
          <w:ilvl w:val="0"/>
          <w:numId w:val="13"/>
        </w:numPr>
        <w:spacing w:after="0"/>
      </w:pPr>
      <w:r>
        <w:rPr>
          <w:lang w:val="en-US"/>
        </w:rPr>
        <w:t xml:space="preserve">Aturan 4: </w:t>
      </w:r>
      <w:r>
        <w:t xml:space="preserve">Peralihan antara </w:t>
      </w:r>
      <w:r>
        <w:rPr>
          <w:i/>
          <w:iCs/>
        </w:rPr>
        <w:t>global pollination</w:t>
      </w:r>
      <w:r>
        <w:t xml:space="preserve"> dan </w:t>
      </w:r>
      <w:r>
        <w:rPr>
          <w:i/>
          <w:iCs/>
        </w:rPr>
        <w:t>local pollination</w:t>
      </w:r>
      <w:r>
        <w:t xml:space="preserve"> dikontrol oleh probabilitas pengalihan</w:t>
      </w:r>
      <w:r>
        <w:rPr>
          <w:lang w:val="en-US"/>
        </w:rPr>
        <w:t xml:space="preserve"> </w:t>
      </w:r>
      <w:r>
        <w:rPr>
          <w:i/>
          <w:lang w:val="en-US"/>
        </w:rPr>
        <w:t xml:space="preserve">switch probability </w:t>
      </w:r>
      <m:oMath>
        <m:r>
          <m:rPr/>
          <w:rPr>
            <w:rFonts w:ascii="Cambria Math" w:hAnsi="Cambria Math"/>
            <w:lang w:val="en-US"/>
          </w:rPr>
          <m:t>p∈</m:t>
        </m:r>
        <m:d>
          <m:dPr>
            <m:begChr m:val="["/>
            <m:endChr m:val="]"/>
            <m:ctrlPr>
              <w:rPr>
                <w:rFonts w:ascii="Cambria Math" w:hAnsi="Cambria Math"/>
                <w:i/>
                <w:lang w:val="en-US"/>
              </w:rPr>
            </m:ctrlPr>
          </m:dPr>
          <m:e>
            <m:r>
              <m:rPr/>
              <w:rPr>
                <w:rFonts w:ascii="Cambria Math" w:hAnsi="Cambria Math"/>
                <w:lang w:val="en-US"/>
              </w:rPr>
              <m:t>0, 1</m:t>
            </m:r>
            <m:ctrlPr>
              <w:rPr>
                <w:rFonts w:ascii="Cambria Math" w:hAnsi="Cambria Math"/>
                <w:i/>
                <w:lang w:val="en-US"/>
              </w:rPr>
            </m:ctrlPr>
          </m:e>
        </m:d>
      </m:oMath>
      <w:r>
        <w:rPr>
          <w:i/>
          <w:lang w:val="en-US"/>
        </w:rPr>
        <w:t xml:space="preserve">. </w:t>
      </w:r>
      <w:r>
        <w:rPr>
          <w:rFonts w:eastAsia="Times New Roman" w:cs="Times New Roman"/>
          <w:szCs w:val="24"/>
          <w:lang w:val="en-US"/>
        </w:rPr>
        <w:t xml:space="preserve">Nilai yang biasa digunakan adalah </w:t>
      </w:r>
      <w:r>
        <w:rPr>
          <w:rFonts w:eastAsia="Times New Roman" w:cs="Times New Roman"/>
          <w:i/>
          <w:szCs w:val="24"/>
        </w:rPr>
        <w:t xml:space="preserve">p = </w:t>
      </w:r>
      <w:r>
        <w:rPr>
          <w:rFonts w:eastAsia="Times New Roman" w:cs="Times New Roman"/>
          <w:szCs w:val="24"/>
        </w:rPr>
        <w:t>0.5</w:t>
      </w:r>
      <w:r>
        <w:rPr>
          <w:rFonts w:eastAsia="Times New Roman" w:cs="Times New Roman"/>
          <w:szCs w:val="24"/>
          <w:lang w:val="en-US"/>
        </w:rPr>
        <w:t xml:space="preserve"> </w:t>
      </w:r>
      <w:r>
        <w:rPr>
          <w:rFonts w:eastAsia="Times New Roman" w:cs="Times New Roman"/>
          <w:szCs w:val="24"/>
          <w:lang w:val="en-US"/>
        </w:rPr>
        <w:fldChar w:fldCharType="begin" w:fldLock="1"/>
      </w:r>
      <w:r>
        <w:rPr>
          <w:rFonts w:eastAsia="Times New Roman" w:cs="Times New Roman"/>
          <w:szCs w:val="24"/>
          <w:lang w:val="en-US"/>
        </w:rPr>
        <w:instrText xml:space="preserve">ADDIN CSL_CITATION {"citationItems":[{"id":"ITEM-1","itemData":{"DOI":"10.1007/978-3-642-32894-7_27","abstract":" AbstractFlower pollination is an intriguing process in the natural world. Its evolutionary characteristics can be used to design new optimization algorithms. In this paper, we propose a new algorithm, namely, flower pollination algorithm, inspired by the pollination process of flowers. We first use ten test functions to validate the new algorithm, and compare its performance with genetic algorithms and particle swarm optimization. Our simulation results show the flower algorithm is more efficient than both GA and PSO. We also use the flower algorithm to solve a nonlinear design benchmark, which shows the convergence rate is almost exponential. ","author":[{"dropping-particle":"","family":"Yang","given":"Xin-She","non-dropping-particle":"","parse-names":false,"suffix":""}],"container-title":"Lecture Notes in Computer Science","id":"ITEM-1","issued":{"date-parts":[["2012"]]},"page":"240-249","title":"Flower Pollination Algorithm for Global Optimization","type":"article-journal"},"uris":["http://www.mendeley.com/documents/?uuid=b0cf6e08-7536-4e55-b2e6-9a8bbaabe1ea"]}],"mendeley":{"formattedCitation":"(Yang, 2012)","plainTextFormattedCitation":"(Yang, 2012)","previouslyFormattedCitation":"(Yang, 2012)"},"properties":{"noteIndex":0},"schema":"https://github.com/citation-style-language/schema/raw/master/csl-citation.json"}</w:instrText>
      </w:r>
      <w:r>
        <w:rPr>
          <w:rFonts w:eastAsia="Times New Roman" w:cs="Times New Roman"/>
          <w:szCs w:val="24"/>
          <w:lang w:val="en-US"/>
        </w:rPr>
        <w:fldChar w:fldCharType="separate"/>
      </w:r>
      <w:r>
        <w:rPr>
          <w:rFonts w:eastAsia="Times New Roman" w:cs="Times New Roman"/>
          <w:szCs w:val="24"/>
          <w:lang w:val="en-US"/>
        </w:rPr>
        <w:t>(Yang, 2012)</w:t>
      </w:r>
      <w:r>
        <w:rPr>
          <w:rFonts w:eastAsia="Times New Roman" w:cs="Times New Roman"/>
          <w:szCs w:val="24"/>
          <w:lang w:val="en-US"/>
        </w:rPr>
        <w:fldChar w:fldCharType="end"/>
      </w:r>
    </w:p>
    <w:p w14:paraId="3EAB0F8F">
      <w:pPr>
        <w:spacing w:after="0"/>
        <w:ind w:left="360" w:firstLine="633"/>
        <w:rPr>
          <w:lang w:val="en-US"/>
        </w:rPr>
      </w:pPr>
      <w:r>
        <w:rPr>
          <w:lang w:val="en-US"/>
        </w:rPr>
        <w:t>P</w:t>
      </w:r>
      <w:r>
        <w:t>ada</w:t>
      </w:r>
      <w:r>
        <w:rPr>
          <w:lang w:val="en-US"/>
        </w:rPr>
        <w:t xml:space="preserve"> langkah penyerbukan global, </w:t>
      </w:r>
      <w:r>
        <w:t xml:space="preserve">serbuk sari dibawa oleh penyerbuk melintasi jarak yang jauh. </w:t>
      </w:r>
      <w:r>
        <w:rPr>
          <w:lang w:val="en-US"/>
        </w:rPr>
        <w:t>Aturan</w:t>
      </w:r>
      <w:r>
        <w:t xml:space="preserve"> 1 diformulasikan sebagai berikut</w:t>
      </w:r>
      <w:r>
        <w:rPr>
          <w:lang w:val="en-US"/>
        </w:rPr>
        <w:t>:</w:t>
      </w:r>
    </w:p>
    <w:p w14:paraId="4380AF19">
      <w:pPr>
        <w:spacing w:after="0"/>
        <w:ind w:left="360" w:firstLine="360"/>
        <w:rPr>
          <w:lang w:val="en-US"/>
        </w:rPr>
      </w:pPr>
      <m:oMathPara>
        <m:oMath>
          <m:eqArr>
            <m:eqArrPr>
              <m:maxDist m:val="1"/>
              <m:ctrlPr>
                <w:rPr>
                  <w:rFonts w:ascii="Cambria Math" w:hAnsi="Cambria Math"/>
                  <w:i/>
                  <w:lang w:val="en-US"/>
                </w:rPr>
              </m:ctrlPr>
            </m:eqArrPr>
            <m:e>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t+1</m:t>
                  </m:r>
                  <m:ctrlPr>
                    <w:rPr>
                      <w:rFonts w:ascii="Cambria Math" w:hAnsi="Cambria Math"/>
                      <w:i/>
                      <w:lang w:val="en-US"/>
                    </w:rPr>
                  </m:ctrlPr>
                </m:sup>
              </m:sSubSup>
              <m:r>
                <m:rPr/>
                <w:rPr>
                  <w:rFonts w:ascii="Cambria Math" w:hAnsi="Cambria Math"/>
                  <w:lang w:val="en-US"/>
                </w:rPr>
                <m:t xml:space="preserve">= </m:t>
              </m:r>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r>
                <m:rPr/>
                <w:rPr>
                  <w:rFonts w:ascii="Cambria Math" w:hAnsi="Cambria Math"/>
                  <w:lang w:val="en-US"/>
                </w:rPr>
                <m:t>+ γL</m:t>
              </m:r>
              <m:d>
                <m:dPr>
                  <m:ctrlPr>
                    <w:rPr>
                      <w:rFonts w:ascii="Cambria Math" w:hAnsi="Cambria Math"/>
                      <w:i/>
                      <w:lang w:val="en-US"/>
                    </w:rPr>
                  </m:ctrlPr>
                </m:dPr>
                <m:e>
                  <m:r>
                    <m:rPr/>
                    <w:rPr>
                      <w:rFonts w:ascii="Cambria Math" w:hAnsi="Cambria Math"/>
                      <w:lang w:val="en-US"/>
                    </w:rPr>
                    <m:t>λ</m:t>
                  </m:r>
                  <m:ctrlPr>
                    <w:rPr>
                      <w:rFonts w:ascii="Cambria Math" w:hAnsi="Cambria Math"/>
                      <w:i/>
                      <w:lang w:val="en-US"/>
                    </w:rPr>
                  </m:ctrlPr>
                </m:e>
              </m:d>
              <m:d>
                <m:dPr>
                  <m:ctrlPr>
                    <w:rPr>
                      <w:rFonts w:ascii="Cambria Math" w:hAnsi="Cambria Math"/>
                      <w:i/>
                      <w:lang w:val="en-US"/>
                    </w:rPr>
                  </m:ctrlPr>
                </m:dPr>
                <m:e>
                  <m:sSub>
                    <m:sSubPr>
                      <m:ctrlPr>
                        <w:rPr>
                          <w:rFonts w:ascii="Cambria Math" w:hAnsi="Cambria Math"/>
                          <w:i/>
                          <w:lang w:val="en-US"/>
                        </w:rPr>
                      </m:ctrlPr>
                    </m:sSubPr>
                    <m:e>
                      <m:r>
                        <m:rPr/>
                        <w:rPr>
                          <w:rFonts w:ascii="Cambria Math" w:hAnsi="Cambria Math"/>
                          <w:lang w:val="en-US"/>
                        </w:rPr>
                        <m:t>g</m:t>
                      </m:r>
                      <m:ctrlPr>
                        <w:rPr>
                          <w:rFonts w:ascii="Cambria Math" w:hAnsi="Cambria Math"/>
                          <w:i/>
                          <w:lang w:val="en-US"/>
                        </w:rPr>
                      </m:ctrlPr>
                    </m:e>
                    <m:sub>
                      <m:r>
                        <m:rPr/>
                        <w:rPr>
                          <w:rFonts w:ascii="Cambria Math" w:hAnsi="Cambria Math"/>
                          <w:lang w:val="en-US"/>
                        </w:rPr>
                        <m:t>∗</m:t>
                      </m:r>
                      <m:ctrlPr>
                        <w:rPr>
                          <w:rFonts w:ascii="Cambria Math" w:hAnsi="Cambria Math"/>
                          <w:i/>
                          <w:lang w:val="en-US"/>
                        </w:rPr>
                      </m:ctrlPr>
                    </m:sub>
                  </m:sSub>
                  <m:r>
                    <m:rPr/>
                    <w:rPr>
                      <w:rFonts w:ascii="Cambria Math" w:hAnsi="Cambria Math"/>
                      <w:lang w:val="en-US"/>
                    </w:rPr>
                    <m:t xml:space="preserve">− </m:t>
                  </m:r>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ctrlPr>
                    <w:rPr>
                      <w:rFonts w:ascii="Cambria Math" w:hAnsi="Cambria Math"/>
                      <w:i/>
                      <w:lang w:val="en-US"/>
                    </w:rPr>
                  </m:ctrlPr>
                </m:e>
              </m:d>
              <m:r>
                <m:rPr/>
                <w:rPr>
                  <w:rFonts w:ascii="Cambria Math" w:hAnsi="Cambria Math"/>
                  <w:lang w:val="en-US"/>
                </w:rPr>
                <m:t>#</m:t>
              </m:r>
              <m:d>
                <m:dPr>
                  <m:ctrlPr>
                    <w:rPr>
                      <w:rFonts w:ascii="Cambria Math" w:hAnsi="Cambria Math"/>
                      <w:i/>
                      <w:lang w:val="en-US"/>
                    </w:rPr>
                  </m:ctrlPr>
                </m:dPr>
                <m:e>
                  <m:r>
                    <m:rPr/>
                    <w:rPr>
                      <w:rFonts w:ascii="Cambria Math" w:hAnsi="Cambria Math"/>
                      <w:lang w:val="en-US"/>
                    </w:rPr>
                    <m:t>2.7</m:t>
                  </m:r>
                  <m:ctrlPr>
                    <w:rPr>
                      <w:rFonts w:ascii="Cambria Math" w:hAnsi="Cambria Math"/>
                      <w:i/>
                      <w:lang w:val="en-US"/>
                    </w:rPr>
                  </m:ctrlPr>
                </m:e>
              </m:d>
              <m:ctrlPr>
                <w:rPr>
                  <w:rFonts w:ascii="Cambria Math" w:hAnsi="Cambria Math"/>
                  <w:i/>
                  <w:lang w:val="en-US"/>
                </w:rPr>
              </m:ctrlPr>
            </m:e>
          </m:eqArr>
          <m:r>
            <m:rPr/>
            <w:rPr>
              <w:rFonts w:ascii="Cambria Math" w:hAnsi="Cambria Math"/>
              <w:lang w:val="en-US"/>
            </w:rPr>
            <m:t xml:space="preserve"> </m:t>
          </m:r>
        </m:oMath>
      </m:oMathPara>
    </w:p>
    <w:p w14:paraId="3ACA3D3B">
      <w:pPr>
        <w:spacing w:after="0"/>
        <w:ind w:left="360"/>
        <w:rPr>
          <w:lang w:val="en-US"/>
        </w:rPr>
      </w:pPr>
      <w:r>
        <w:rPr>
          <w:lang w:val="en-US"/>
        </w:rPr>
        <w:t>Keterangan:</w:t>
      </w:r>
    </w:p>
    <w:p w14:paraId="7B9BD087">
      <w:pPr>
        <w:spacing w:after="0"/>
        <w:ind w:left="851" w:hanging="491"/>
        <w:rPr>
          <w:lang w:val="en-US"/>
        </w:rPr>
      </w:pPr>
      <m:oMath>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oMath>
      <w:r>
        <w:rPr>
          <w:lang w:val="en-US"/>
        </w:rPr>
        <w:t xml:space="preserve"> </w:t>
      </w:r>
      <w:r>
        <w:rPr>
          <w:lang w:val="en-US"/>
        </w:rPr>
        <w:tab/>
      </w:r>
      <w:r>
        <w:rPr>
          <w:lang w:val="en-US"/>
        </w:rPr>
        <w:t>: serbuk sari</w:t>
      </w:r>
      <w:r>
        <w:t>/solusi</w:t>
      </w:r>
      <w:r>
        <w:rPr>
          <w:lang w:val="en-US"/>
        </w:rPr>
        <w:t xml:space="preserve"> ke </w:t>
      </w:r>
      <m:oMath>
        <m:r>
          <m:rPr/>
          <w:rPr>
            <w:rFonts w:ascii="Cambria Math" w:hAnsi="Cambria Math"/>
            <w:lang w:val="en-US"/>
          </w:rPr>
          <m:t>i</m:t>
        </m:r>
      </m:oMath>
      <w:r>
        <w:rPr>
          <w:lang w:val="en-US"/>
        </w:rPr>
        <w:t xml:space="preserve"> atau vector solusi </w:t>
      </w:r>
      <m:oMath>
        <m:sSub>
          <m:sSubPr>
            <m:ctrlPr>
              <w:rPr>
                <w:rFonts w:ascii="Cambria Math" w:hAnsi="Cambria Math"/>
                <w:i/>
                <w:lang w:val="en-US"/>
              </w:rPr>
            </m:ctrlPr>
          </m:sSub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Sub>
      </m:oMath>
      <w:r>
        <w:rPr>
          <w:lang w:val="en-US"/>
        </w:rPr>
        <w:t xml:space="preserve"> pada iterasi ke </w:t>
      </w:r>
      <w:r>
        <w:rPr>
          <w:i/>
          <w:lang w:val="en-US"/>
        </w:rPr>
        <w:t>t</w:t>
      </w:r>
    </w:p>
    <w:p w14:paraId="239BD1EA">
      <w:pPr>
        <w:spacing w:after="0"/>
        <w:ind w:left="851" w:hanging="491"/>
        <w:rPr>
          <w:lang w:val="en-US"/>
        </w:rPr>
      </w:pPr>
      <m:oMath>
        <m:sSub>
          <m:sSubPr>
            <m:ctrlPr>
              <w:rPr>
                <w:rFonts w:ascii="Cambria Math" w:hAnsi="Cambria Math"/>
                <w:i/>
                <w:lang w:val="en-US"/>
              </w:rPr>
            </m:ctrlPr>
          </m:sSubPr>
          <m:e>
            <m:r>
              <m:rPr/>
              <w:rPr>
                <w:rFonts w:ascii="Cambria Math" w:hAnsi="Cambria Math"/>
                <w:lang w:val="en-US"/>
              </w:rPr>
              <m:t>g</m:t>
            </m:r>
            <m:ctrlPr>
              <w:rPr>
                <w:rFonts w:ascii="Cambria Math" w:hAnsi="Cambria Math"/>
                <w:i/>
                <w:lang w:val="en-US"/>
              </w:rPr>
            </m:ctrlPr>
          </m:e>
          <m:sub>
            <m:r>
              <m:rPr/>
              <w:rPr>
                <w:rFonts w:ascii="Cambria Math" w:hAnsi="Cambria Math"/>
                <w:lang w:val="en-US"/>
              </w:rPr>
              <m:t>∗</m:t>
            </m:r>
            <m:ctrlPr>
              <w:rPr>
                <w:rFonts w:ascii="Cambria Math" w:hAnsi="Cambria Math"/>
                <w:i/>
                <w:lang w:val="en-US"/>
              </w:rPr>
            </m:ctrlPr>
          </m:sub>
        </m:sSub>
      </m:oMath>
      <w:r>
        <w:rPr>
          <w:lang w:val="en-US"/>
        </w:rPr>
        <w:t xml:space="preserve"> </w:t>
      </w:r>
      <w:r>
        <w:rPr>
          <w:lang w:val="en-US"/>
        </w:rPr>
        <w:tab/>
      </w:r>
      <w:r>
        <w:rPr>
          <w:lang w:val="en-US"/>
        </w:rPr>
        <w:t xml:space="preserve">: solusi terbaik </w:t>
      </w:r>
      <w:r>
        <w:t xml:space="preserve">global </w:t>
      </w:r>
      <w:r>
        <w:rPr>
          <w:lang w:val="en-US"/>
        </w:rPr>
        <w:t xml:space="preserve">sementara, </w:t>
      </w:r>
    </w:p>
    <w:p w14:paraId="2BD0D60D">
      <w:pPr>
        <w:spacing w:after="0"/>
        <w:ind w:left="851" w:hanging="491"/>
        <w:rPr>
          <w:i/>
          <w:lang w:val="en-US"/>
        </w:rPr>
      </w:pPr>
      <w:r>
        <w:rPr>
          <w:i/>
          <w:lang w:val="en-US"/>
        </w:rPr>
        <w:t xml:space="preserve">L </w:t>
      </w:r>
      <w:r>
        <w:rPr>
          <w:i/>
          <w:lang w:val="en-US"/>
        </w:rPr>
        <w:tab/>
      </w:r>
      <w:r>
        <w:rPr>
          <w:lang w:val="en-US"/>
        </w:rPr>
        <w:t xml:space="preserve">: </w:t>
      </w:r>
      <w:r>
        <w:rPr>
          <w:i/>
          <w:lang w:val="en-US"/>
        </w:rPr>
        <w:t xml:space="preserve">step size </w:t>
      </w:r>
      <w:r>
        <w:rPr>
          <w:lang w:val="en-US"/>
        </w:rPr>
        <w:t xml:space="preserve">dengan </w:t>
      </w:r>
      <w:r>
        <w:rPr>
          <w:i/>
          <w:lang w:val="en-US"/>
        </w:rPr>
        <w:t xml:space="preserve">Lévy Flights </w:t>
      </w:r>
      <w:r>
        <w:rPr>
          <w:lang w:val="en-US"/>
        </w:rPr>
        <w:t xml:space="preserve">yang berdimensi </w:t>
      </w:r>
      <w:r>
        <w:rPr>
          <w:i/>
          <w:lang w:val="en-US"/>
        </w:rPr>
        <w:t>d</w:t>
      </w:r>
    </w:p>
    <w:p w14:paraId="05B0749D">
      <w:pPr>
        <w:spacing w:after="0"/>
        <w:ind w:left="851" w:hanging="491"/>
        <w:rPr>
          <w:i/>
          <w:lang w:val="en-US"/>
        </w:rPr>
      </w:pPr>
      <m:oMath>
        <m:r>
          <m:rPr/>
          <w:rPr>
            <w:rFonts w:ascii="Cambria Math" w:hAnsi="Cambria Math"/>
            <w:lang w:val="en-US"/>
          </w:rPr>
          <m:t>γ</m:t>
        </m:r>
      </m:oMath>
      <w:r>
        <w:rPr>
          <w:lang w:val="en-US"/>
        </w:rPr>
        <w:t xml:space="preserve"> </w:t>
      </w:r>
      <w:r>
        <w:rPr>
          <w:lang w:val="en-US"/>
        </w:rPr>
        <w:tab/>
      </w:r>
      <w:r>
        <w:rPr>
          <w:lang w:val="en-US"/>
        </w:rPr>
        <w:t xml:space="preserve">: factor skala untuk </w:t>
      </w:r>
      <w:r>
        <w:rPr>
          <w:i/>
          <w:lang w:val="en-US"/>
        </w:rPr>
        <w:t>step size</w:t>
      </w:r>
    </w:p>
    <w:p w14:paraId="5D764DE0">
      <w:pPr>
        <w:spacing w:after="0"/>
        <w:ind w:left="851" w:hanging="491"/>
        <w:rPr>
          <w:rFonts w:cs="Times New Roman"/>
          <w:lang w:val="en-US"/>
        </w:rPr>
      </w:pPr>
      <m:oMath>
        <m:r>
          <m:rPr/>
          <w:rPr>
            <w:rFonts w:ascii="Cambria Math" w:hAnsi="Cambria Math"/>
            <w:lang w:val="en-US"/>
          </w:rPr>
          <m:t>λ</m:t>
        </m:r>
      </m:oMath>
      <w:r>
        <w:rPr>
          <w:i/>
          <w:lang w:val="en-US"/>
        </w:rPr>
        <w:tab/>
      </w:r>
      <w:r>
        <w:rPr>
          <w:lang w:val="en-US"/>
        </w:rPr>
        <w:t xml:space="preserve">: parameter </w:t>
      </w:r>
      <w:r>
        <w:rPr>
          <w:i/>
          <w:lang w:val="en-US"/>
        </w:rPr>
        <w:t xml:space="preserve">Lévy Flights </w:t>
      </w:r>
      <w:r>
        <w:rPr>
          <w:lang w:val="en-US"/>
        </w:rPr>
        <w:t xml:space="preserve">(1 </w:t>
      </w:r>
      <w:r>
        <w:rPr>
          <w:rFonts w:cs="Times New Roman"/>
          <w:lang w:val="en-US"/>
        </w:rPr>
        <w:t>≤</w:t>
      </w:r>
      <w:r>
        <w:rPr>
          <w:i/>
          <w:lang w:val="en-US"/>
        </w:rPr>
        <w:t xml:space="preserve"> </w:t>
      </w:r>
      <m:oMath>
        <m:r>
          <m:rPr/>
          <w:rPr>
            <w:rFonts w:ascii="Cambria Math" w:hAnsi="Cambria Math"/>
            <w:lang w:val="en-US"/>
          </w:rPr>
          <m:t>λ</m:t>
        </m:r>
      </m:oMath>
      <w:r>
        <w:rPr>
          <w:i/>
          <w:lang w:val="en-US"/>
        </w:rPr>
        <w:t xml:space="preserve"> </w:t>
      </w:r>
      <w:r>
        <w:rPr>
          <w:rFonts w:cs="Times New Roman"/>
          <w:lang w:val="en-US"/>
        </w:rPr>
        <w:t>≤ 2)</w:t>
      </w:r>
    </w:p>
    <w:p w14:paraId="1E9675F9">
      <w:pPr>
        <w:spacing w:after="0"/>
        <w:ind w:left="851" w:hanging="491"/>
        <w:rPr>
          <w:lang w:val="en-US"/>
        </w:rPr>
      </w:pPr>
      <m:oMath>
        <m:r>
          <m:rPr/>
          <w:rPr>
            <w:rFonts w:ascii="Cambria Math" w:hAnsi="Cambria Math"/>
            <w:lang w:val="en-US"/>
          </w:rPr>
          <m:t>L(λ)</m:t>
        </m:r>
      </m:oMath>
      <w:r>
        <w:rPr>
          <w:lang w:val="en-US"/>
        </w:rPr>
        <w:tab/>
      </w:r>
      <w:r>
        <w:rPr>
          <w:lang w:val="en-US"/>
        </w:rPr>
        <w:t xml:space="preserve">: parameter yang </w:t>
      </w:r>
      <w:r>
        <w:t xml:space="preserve">merepresentasikan </w:t>
      </w:r>
      <w:r>
        <w:rPr>
          <w:lang w:val="en-US"/>
        </w:rPr>
        <w:t xml:space="preserve">kekuatan dari penyerbukan, </w:t>
      </w:r>
      <w:r>
        <w:t xml:space="preserve">di mana </w:t>
      </w:r>
      <w:r>
        <w:rPr>
          <w:i/>
          <w:lang w:val="en-US"/>
        </w:rPr>
        <w:t xml:space="preserve">step size </w:t>
      </w:r>
      <w:r>
        <w:t xml:space="preserve">juga menjadi faktor </w:t>
      </w:r>
      <w:r>
        <w:rPr>
          <w:lang w:val="en-US"/>
        </w:rPr>
        <w:t xml:space="preserve">penting. </w:t>
      </w:r>
    </w:p>
    <w:p w14:paraId="0D38A501">
      <w:pPr>
        <w:spacing w:after="0"/>
        <w:ind w:left="360" w:firstLine="633"/>
        <w:rPr>
          <w:lang w:val="en-US"/>
        </w:rPr>
      </w:pPr>
      <w:r>
        <w:rPr>
          <w:lang w:val="en-US"/>
        </w:rPr>
        <w:t>Penyerbukan lokal menggunakan aturan 2 dan 3 yang secara matematis direpresentasikan sebagai berikut:</w:t>
      </w:r>
    </w:p>
    <w:p w14:paraId="511EDF25">
      <w:pPr>
        <w:spacing w:after="0"/>
        <w:ind w:left="360"/>
        <w:rPr>
          <w:lang w:val="en-US"/>
        </w:rPr>
      </w:pPr>
      <m:oMathPara>
        <m:oMath>
          <m:eqArr>
            <m:eqArrPr>
              <m:maxDist m:val="1"/>
              <m:ctrlPr>
                <w:rPr>
                  <w:rFonts w:ascii="Cambria Math" w:hAnsi="Cambria Math"/>
                  <w:i/>
                  <w:lang w:val="en-US"/>
                </w:rPr>
              </m:ctrlPr>
            </m:eqArrPr>
            <m:e>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t+1</m:t>
                  </m:r>
                  <m:ctrlPr>
                    <w:rPr>
                      <w:rFonts w:ascii="Cambria Math" w:hAnsi="Cambria Math"/>
                      <w:i/>
                      <w:lang w:val="en-US"/>
                    </w:rPr>
                  </m:ctrlPr>
                </m:sup>
              </m:sSubSup>
              <m:r>
                <m:rPr/>
                <w:rPr>
                  <w:rFonts w:ascii="Cambria Math" w:hAnsi="Cambria Math"/>
                  <w:lang w:val="en-US"/>
                </w:rPr>
                <m:t xml:space="preserve">= </m:t>
              </m:r>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r>
                <m:rPr/>
                <w:rPr>
                  <w:rFonts w:ascii="Cambria Math" w:hAnsi="Cambria Math"/>
                  <w:lang w:val="en-US"/>
                </w:rPr>
                <m:t xml:space="preserve">+ ϵ </m:t>
              </m:r>
              <m:d>
                <m:dPr>
                  <m:ctrlPr>
                    <w:rPr>
                      <w:rFonts w:ascii="Cambria Math" w:hAnsi="Cambria Math"/>
                      <w:i/>
                      <w:lang w:val="en-US"/>
                    </w:rPr>
                  </m:ctrlPr>
                </m:dPr>
                <m:e>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j</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r>
                    <m:rPr/>
                    <w:rPr>
                      <w:rFonts w:ascii="Cambria Math" w:hAnsi="Cambria Math"/>
                      <w:lang w:val="en-US"/>
                    </w:rPr>
                    <m:t xml:space="preserve">− </m:t>
                  </m:r>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k</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ctrlPr>
                    <w:rPr>
                      <w:rFonts w:ascii="Cambria Math" w:hAnsi="Cambria Math"/>
                      <w:i/>
                      <w:lang w:val="en-US"/>
                    </w:rPr>
                  </m:ctrlPr>
                </m:e>
              </m:d>
              <m:r>
                <m:rPr/>
                <w:rPr>
                  <w:rFonts w:ascii="Cambria Math" w:hAnsi="Cambria Math"/>
                  <w:lang w:val="en-US"/>
                </w:rPr>
                <m:t>#</m:t>
              </m:r>
              <m:d>
                <m:dPr>
                  <m:ctrlPr>
                    <w:rPr>
                      <w:rFonts w:ascii="Cambria Math" w:hAnsi="Cambria Math"/>
                      <w:i/>
                      <w:lang w:val="en-US"/>
                    </w:rPr>
                  </m:ctrlPr>
                </m:dPr>
                <m:e>
                  <m:r>
                    <m:rPr/>
                    <w:rPr>
                      <w:rFonts w:ascii="Cambria Math" w:hAnsi="Cambria Math"/>
                      <w:lang w:val="en-US"/>
                    </w:rPr>
                    <m:t>2.8</m:t>
                  </m:r>
                  <m:ctrlPr>
                    <w:rPr>
                      <w:rFonts w:ascii="Cambria Math" w:hAnsi="Cambria Math"/>
                      <w:i/>
                      <w:lang w:val="en-US"/>
                    </w:rPr>
                  </m:ctrlPr>
                </m:e>
              </m:d>
              <m:ctrlPr>
                <w:rPr>
                  <w:rFonts w:ascii="Cambria Math" w:hAnsi="Cambria Math"/>
                  <w:i/>
                  <w:lang w:val="en-US"/>
                </w:rPr>
              </m:ctrlPr>
            </m:e>
          </m:eqArr>
        </m:oMath>
      </m:oMathPara>
    </w:p>
    <w:p w14:paraId="286368BB">
      <w:pPr>
        <w:spacing w:after="0"/>
        <w:ind w:left="360"/>
        <w:rPr>
          <w:lang w:val="en-US"/>
        </w:rPr>
      </w:pPr>
      <w:r>
        <w:rPr>
          <w:lang w:val="en-US"/>
        </w:rPr>
        <w:t>Keterangan:</w:t>
      </w:r>
    </w:p>
    <w:p w14:paraId="08B5A30E">
      <w:pPr>
        <w:spacing w:after="0"/>
        <w:ind w:left="1276" w:hanging="992"/>
        <w:rPr>
          <w:lang w:val="en-US"/>
        </w:rPr>
      </w:pPr>
      <m:oMath>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j</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oMath>
      <w:r>
        <w:rPr>
          <w:lang w:val="en-US"/>
        </w:rPr>
        <w:t xml:space="preserve"> dan </w:t>
      </w:r>
      <m:oMath>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k</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oMath>
      <w:r>
        <w:rPr>
          <w:lang w:val="en-US"/>
        </w:rPr>
        <w:tab/>
      </w:r>
      <w:r>
        <w:rPr>
          <w:lang w:val="en-US"/>
        </w:rPr>
        <w:t xml:space="preserve">: serbuk sari dari bunga yang berbeda, namun dengan spesies tanaman yang sama. </w:t>
      </w:r>
    </w:p>
    <w:p w14:paraId="3B3D10C0">
      <w:pPr>
        <w:spacing w:after="0"/>
        <w:ind w:left="1276" w:hanging="992"/>
        <w:rPr>
          <w:rFonts w:cs="Times New Roman"/>
          <w:lang w:val="en-US"/>
        </w:rPr>
      </w:pPr>
      <m:oMath>
        <m:r>
          <m:rPr/>
          <w:rPr>
            <w:rFonts w:ascii="Cambria Math" w:hAnsi="Cambria Math"/>
            <w:lang w:val="en-US"/>
          </w:rPr>
          <m:t>ϵ</m:t>
        </m:r>
      </m:oMath>
      <w:r>
        <w:rPr>
          <w:lang w:val="en-US"/>
        </w:rPr>
        <w:t xml:space="preserve">  </w:t>
      </w:r>
      <w:r>
        <w:rPr>
          <w:lang w:val="en-US"/>
        </w:rPr>
        <w:tab/>
      </w:r>
      <w:r>
        <w:rPr>
          <w:lang w:val="en-US"/>
        </w:rPr>
        <w:t>: v</w:t>
      </w:r>
      <w:r>
        <w:t xml:space="preserve">ariabel yang digambarkan dari distribusi yang seragam pada interval </w:t>
      </w:r>
      <w:r>
        <w:rPr>
          <w:rStyle w:val="38"/>
        </w:rPr>
        <w:t>[0,1]</w:t>
      </w:r>
      <w:r>
        <w:rPr>
          <w:rFonts w:cs="Times New Roman"/>
          <w:lang w:val="en-US"/>
        </w:rPr>
        <w:t>.</w:t>
      </w:r>
    </w:p>
    <w:p w14:paraId="30B86639">
      <w:pPr>
        <w:spacing w:after="0"/>
        <w:ind w:left="360" w:firstLine="633"/>
      </w:pPr>
      <w:r>
        <w:rPr>
          <w:lang w:val="en-US"/>
        </w:rPr>
        <w:t xml:space="preserve">Rumus ini penting dalam meniru kestabilan bunga </w:t>
      </w:r>
      <w:bookmarkStart w:id="169" w:name="_GoBack"/>
      <w:bookmarkEnd w:id="169"/>
      <w:r>
        <w:rPr>
          <w:lang w:val="en-US"/>
        </w:rPr>
        <w:t xml:space="preserve">di lingkungan yang terbatas. Secara matematis, jika </w:t>
      </w:r>
      <m:oMath>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j</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oMath>
      <w:r>
        <w:rPr>
          <w:lang w:val="en-US"/>
        </w:rPr>
        <w:t xml:space="preserve"> dan </w:t>
      </w:r>
      <m:oMath>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k</m:t>
            </m:r>
            <m:ctrlPr>
              <w:rPr>
                <w:rFonts w:ascii="Cambria Math" w:hAnsi="Cambria Math"/>
                <w:i/>
                <w:lang w:val="en-US"/>
              </w:rPr>
            </m:ctrlPr>
          </m:sub>
          <m:sup>
            <m:r>
              <m:rPr/>
              <w:rPr>
                <w:rFonts w:ascii="Cambria Math" w:hAnsi="Cambria Math"/>
                <w:lang w:val="en-US"/>
              </w:rPr>
              <m:t>t</m:t>
            </m:r>
            <m:ctrlPr>
              <w:rPr>
                <w:rFonts w:ascii="Cambria Math" w:hAnsi="Cambria Math"/>
                <w:i/>
                <w:lang w:val="en-US"/>
              </w:rPr>
            </m:ctrlPr>
          </m:sup>
        </m:sSubSup>
      </m:oMath>
      <w:r>
        <w:rPr>
          <w:lang w:val="en-US"/>
        </w:rPr>
        <w:t xml:space="preserve"> </w:t>
      </w:r>
      <w:r>
        <w:t xml:space="preserve">dipilih dari populasi yang sama, persamaan ini secara matematis ekuivalen dengan </w:t>
      </w:r>
      <w:r>
        <w:rPr>
          <w:i/>
          <w:iCs/>
        </w:rPr>
        <w:t>random walk</w:t>
      </w:r>
      <w:r>
        <w:t xml:space="preserve"> (jalan acak) lokal</w:t>
      </w:r>
      <w:r>
        <w:rPr>
          <w:lang w:val="en-US"/>
        </w:rPr>
        <w:t xml:space="preserve">. </w:t>
      </w:r>
      <w:r>
        <w:t>Pada intinya, proses ini adalah mutasi lokal dan langkah yang tercampur, yang bertujuan membantu algoritma mencapai konvergensi dalam subruang.</w:t>
      </w:r>
    </w:p>
    <w:p w14:paraId="2D3675B2">
      <w:pPr>
        <w:pStyle w:val="44"/>
      </w:pPr>
      <w:r>
        <w:t>c) Kelemahan Algoritma FPA dan Urgensi Pengembangan</w:t>
      </w:r>
    </w:p>
    <w:p w14:paraId="1D4DF11A">
      <w:pPr>
        <w:spacing w:after="0"/>
        <w:ind w:left="360" w:firstLine="633"/>
        <w:rPr>
          <w:rFonts w:cs="Times New Roman"/>
        </w:rPr>
      </w:pPr>
      <w:r>
        <w:t>Meskipun FPA terbukti efisien dalam berbagai kasus optimasi sederhana, algoritma ini memiliki keterbatasan struktural saat diterapkan pada ruang pencarian berdimensi tinggi (</w:t>
      </w:r>
      <w:r>
        <w:rPr>
          <w:i/>
          <w:iCs/>
        </w:rPr>
        <w:t>high-dimensional search space</w:t>
      </w:r>
      <w:r>
        <w:t xml:space="preserve">) seperti optimasi </w:t>
      </w:r>
      <w:r>
        <w:rPr>
          <w:i/>
          <w:iCs/>
        </w:rPr>
        <w:t>hyperparameter</w:t>
      </w:r>
      <w:r>
        <w:t xml:space="preserve"> Deep Learning:</w:t>
      </w:r>
    </w:p>
    <w:p w14:paraId="52273834">
      <w:pPr>
        <w:pStyle w:val="33"/>
        <w:numPr>
          <w:ilvl w:val="0"/>
          <w:numId w:val="14"/>
        </w:numPr>
        <w:spacing w:after="0"/>
      </w:pPr>
      <w:r>
        <w:rPr>
          <w:bCs/>
        </w:rPr>
        <w:t xml:space="preserve">Rigiditas Probabilitas </w:t>
      </w:r>
      <w:r>
        <w:rPr>
          <w:bCs/>
          <w:i/>
        </w:rPr>
        <w:t>Switch</w:t>
      </w:r>
      <w:r>
        <w:rPr>
          <w:bCs/>
        </w:rPr>
        <w:t xml:space="preserve"> (</w:t>
      </w:r>
      <w:r>
        <w:rPr>
          <w:rStyle w:val="38"/>
          <w:bCs/>
          <w:i/>
        </w:rPr>
        <w:t>p</w:t>
      </w:r>
      <w:r>
        <w:rPr>
          <w:bCs/>
        </w:rPr>
        <w:t>):</w:t>
      </w:r>
      <w:r>
        <w:rPr>
          <w:bCs/>
          <w:lang w:val="en-US"/>
        </w:rPr>
        <w:t xml:space="preserve"> </w:t>
      </w:r>
      <w:r>
        <w:t xml:space="preserve">FPA standar menggunakan probabilitas </w:t>
      </w:r>
      <w:r>
        <w:rPr>
          <w:i/>
          <w:iCs/>
        </w:rPr>
        <w:t>switch</w:t>
      </w:r>
      <w:r>
        <w:t xml:space="preserve"> tetap (biasanya </w:t>
      </w:r>
      <w:r>
        <w:rPr>
          <w:rStyle w:val="38"/>
          <w:i/>
        </w:rPr>
        <w:t>p</w:t>
      </w:r>
      <w:r>
        <w:rPr>
          <w:rStyle w:val="38"/>
          <w:i/>
          <w:lang w:val="en-US"/>
        </w:rPr>
        <w:t xml:space="preserve"> </w:t>
      </w:r>
      <w:r>
        <w:rPr>
          <w:rStyle w:val="38"/>
        </w:rPr>
        <w:t>=</w:t>
      </w:r>
      <w:r>
        <w:rPr>
          <w:rStyle w:val="38"/>
          <w:lang w:val="en-US"/>
        </w:rPr>
        <w:t xml:space="preserve"> </w:t>
      </w:r>
      <w:r>
        <w:rPr>
          <w:rStyle w:val="38"/>
        </w:rPr>
        <w:t>0.8</w:t>
      </w:r>
      <w:r>
        <w:t xml:space="preserve">) untuk beralih antara penyerbukan global dan lokal. </w:t>
      </w:r>
      <w:r>
        <w:rPr>
          <w:lang w:val="en-US"/>
        </w:rPr>
        <w:t>P</w:t>
      </w:r>
      <w:r>
        <w:t>endekatan statis ini menyebabkan ketidakseimbangan antara fase eksplorasi dan eksploitasi. Algoritma tidak dapat beradaptasi secara cerdas ketika proses optimasi membutuhkan perubahan strategi di pertengahan iterasi, yang seringkali berujung pada konvergensi yang lambat</w:t>
      </w:r>
      <w:r>
        <w:rPr>
          <w:lang w:val="en-US"/>
        </w:rPr>
        <w:t xml:space="preserve"> </w:t>
      </w:r>
      <w:r>
        <w:rPr>
          <w:lang w:val="en-US"/>
        </w:rPr>
        <w:fldChar w:fldCharType="begin" w:fldLock="1"/>
      </w:r>
      <w:r>
        <w:rPr>
          <w:lang w:val="en-US"/>
        </w:rPr>
        <w:instrText xml:space="preserve">ADDIN CSL_CITATION {"citationItems":[{"id":"ITEM-1","itemData":{"DOI":"10.1016/C2013-0-01368-0","ISBN":"9780124167438","abstract":"Nature-Inspired Optimization Algorithms provides a systematic introduction to all major nature-inspired algorithms for optimization. The book's unified approach, balancing algorithm introduction, theoretical background and practical implementation, complements extensive literature with well-chosen case studies to illustrate how these algorithms work. Topics include particle swarm optimization, ant and bee algorithms, simulated annealing, cuckoo search, firefly algorithm, bat algorithm, flower algorithm, harmony search, algorithm analysis, constraint handling, hybrid methods, parameter tuning and control, as well as multi-objective optimization. This book can serve as an introductory book for graduates, doctoral students and lecturers in computer science, engineering and natural sciences. It can also serve a source of inspiration for new applications. Researchers and engineers as well as experienced experts will also find it a handy reference. © 2014 Elsevier Inc. All rights reserved.","author":[{"dropping-particle":"","family":"Yang","given":"Xin She","non-dropping-particle":"","parse-names":false,"suffix":""}],"container-title":"Nature-Inspired Optimization Algorithms","id":"ITEM-1","issued":{"date-parts":[["2014"]]},"number-of-pages":"1-263","publisher":"Elsevier Inc.","title":"Nature-Inspired Optimization Algorithms","type":"book"},"uris":["http://www.mendeley.com/documents/?uuid=b0e14c11-4df5-3679-b418-3960499b1d0b"]}],"mendeley":{"formattedCitation":"(Yang, 2014)","plainTextFormattedCitation":"(Yang, 2014)","previouslyFormattedCitation":"(Yang, 2014)"},"properties":{"noteIndex":0},"schema":"https://github.com/citation-style-language/schema/raw/master/csl-citation.json"}</w:instrText>
      </w:r>
      <w:r>
        <w:rPr>
          <w:lang w:val="en-US"/>
        </w:rPr>
        <w:fldChar w:fldCharType="separate"/>
      </w:r>
      <w:r>
        <w:rPr>
          <w:lang w:val="en-US"/>
        </w:rPr>
        <w:t>(Yang, 2014)</w:t>
      </w:r>
      <w:r>
        <w:rPr>
          <w:lang w:val="en-US"/>
        </w:rPr>
        <w:fldChar w:fldCharType="end"/>
      </w:r>
      <w:r>
        <w:t>.</w:t>
      </w:r>
    </w:p>
    <w:p w14:paraId="45A400DA">
      <w:pPr>
        <w:pStyle w:val="33"/>
        <w:numPr>
          <w:ilvl w:val="0"/>
          <w:numId w:val="14"/>
        </w:numPr>
        <w:spacing w:after="0"/>
      </w:pPr>
      <w:r>
        <w:rPr>
          <w:bCs/>
        </w:rPr>
        <w:t>Jebakan Optimum Lokal (</w:t>
      </w:r>
      <w:r>
        <w:rPr>
          <w:bCs/>
          <w:i/>
          <w:iCs/>
        </w:rPr>
        <w:t>Premature Convergence</w:t>
      </w:r>
      <w:r>
        <w:rPr>
          <w:bCs/>
        </w:rPr>
        <w:t>):</w:t>
      </w:r>
      <w:r>
        <w:rPr>
          <w:bCs/>
          <w:lang w:val="en-US"/>
        </w:rPr>
        <w:t xml:space="preserve"> </w:t>
      </w:r>
      <w:r>
        <w:t xml:space="preserve">Mekanisme </w:t>
      </w:r>
      <w:r>
        <w:rPr>
          <w:i/>
          <w:iCs/>
        </w:rPr>
        <w:t>Lévy Flight</w:t>
      </w:r>
      <w:r>
        <w:t xml:space="preserve"> pada penyerbukan global sangat agresif menarik populasi menuju solusi terbaik saat ini (</w:t>
      </w:r>
      <w:r>
        <w:rPr>
          <w:i/>
          <w:iCs/>
        </w:rPr>
        <w:t>gbest</w:t>
      </w:r>
      <w:r>
        <w:t xml:space="preserve">). </w:t>
      </w:r>
      <w:r>
        <w:rPr>
          <w:lang w:val="en-US"/>
        </w:rPr>
        <w:t>J</w:t>
      </w:r>
      <w:r>
        <w:t xml:space="preserve">ika </w:t>
      </w:r>
      <w:r>
        <w:rPr>
          <w:i/>
          <w:iCs/>
        </w:rPr>
        <w:t>gbest</w:t>
      </w:r>
      <w:r>
        <w:t xml:space="preserve"> tersebut adalah optimum lokal, diversitas populasi akan hilang dengan cepat, menyebabkan stagnasi di mana algoritma tidak mampu keluar dari area tersebut (</w:t>
      </w:r>
      <w:r>
        <w:rPr>
          <w:i/>
          <w:iCs/>
        </w:rPr>
        <w:t>trapping in local optima</w:t>
      </w:r>
      <w:r>
        <w:t>)</w:t>
      </w:r>
      <w:r>
        <w:rPr>
          <w:lang w:val="en-US"/>
        </w:rPr>
        <w:t xml:space="preserve"> </w:t>
      </w:r>
      <w:r>
        <w:rPr>
          <w:lang w:val="en-US"/>
        </w:rPr>
        <w:fldChar w:fldCharType="begin" w:fldLock="1"/>
      </w:r>
      <w:r>
        <w:rPr>
          <w:lang w:val="en-US"/>
        </w:rPr>
        <w:instrText xml:space="preserve">ADDIN CSL_CITATION {"citationItems":[{"id":"ITEM-1","itemData":{"DOI":"10.1007/s10462-018-9624-4 ","ISBN":"0269-2821 ","abstract":"Flower pollination algorithm (FPA) is a computational intelligence metaheuristic that takes its metaphor from flowers proliferation role in plants. This paper provides a comprehensive review of all issues related to FPA: biological inspiration, fundamentals, previous studies and comparisons, implementation, variants, hybrids, and applications. Besides, it makes a comparison between FPA and six different metaheuristics such as genetic algorithm, cuckoo search, grasshopper optimization algorithm, and others on solving a constrained engineering optimization problem. The experimental results are statistically analyzed with non-parametric Friedman test which indicates that FPA is superior more than other competitors in solving the given problem.\n","author":[{"dropping-particle":"","family":"Abdel-Basset","given":"Mohamed","non-dropping-particle":"","parse-names":false,"suffix":""},{"dropping-particle":"","family":"Shawky","given":"Laila A","non-dropping-particle":"","parse-names":false,"suffix":""}],"container-title":"a comprehensive review ","id":"ITEM-1","issue":"4 ","issued":{"date-parts":[["2019","12","1"]]},"note":"Publisher Copyright:\n© 2018, Springer Science+Business Media B.V., part of Springer Nature.","page":"2533-2557","title":"Flower pollination algorithm ","type":"article","volume":"52 "},"uris":["http://www.mendeley.com/documents/?uuid=12544b48-5c8d-457a-ae40-148444f589ea"]}],"mendeley":{"formattedCitation":"(Abdel-Basset dan Shawky, 2019)","plainTextFormattedCitation":"(Abdel-Basset dan Shawky, 2019)","previouslyFormattedCitation":"(Abdel-Basset dan Shawky, 2019)"},"properties":{"noteIndex":0},"schema":"https://github.com/citation-style-language/schema/raw/master/csl-citation.json"}</w:instrText>
      </w:r>
      <w:r>
        <w:rPr>
          <w:lang w:val="en-US"/>
        </w:rPr>
        <w:fldChar w:fldCharType="separate"/>
      </w:r>
      <w:r>
        <w:rPr>
          <w:lang w:val="en-US"/>
        </w:rPr>
        <w:t>(Abdel-Basset dan Shawky, 2019)</w:t>
      </w:r>
      <w:r>
        <w:rPr>
          <w:lang w:val="en-US"/>
        </w:rPr>
        <w:fldChar w:fldCharType="end"/>
      </w:r>
      <w:r>
        <w:t>.</w:t>
      </w:r>
    </w:p>
    <w:p w14:paraId="3FC17C7E">
      <w:pPr>
        <w:pStyle w:val="33"/>
        <w:numPr>
          <w:ilvl w:val="0"/>
          <w:numId w:val="14"/>
        </w:numPr>
        <w:spacing w:after="0"/>
      </w:pPr>
      <w:r>
        <w:rPr>
          <w:bCs/>
        </w:rPr>
        <w:t>Kelemahan Pencarian Lokal:</w:t>
      </w:r>
      <w:r>
        <w:rPr>
          <w:b/>
          <w:bCs/>
          <w:lang w:val="en-US"/>
        </w:rPr>
        <w:t xml:space="preserve"> </w:t>
      </w:r>
      <w:r>
        <w:t>Fase penyerbukan lokal (</w:t>
      </w:r>
      <w:r>
        <w:rPr>
          <w:i/>
          <w:iCs/>
        </w:rPr>
        <w:t>Local Pollination</w:t>
      </w:r>
      <w:r>
        <w:t xml:space="preserve">) pada FPA standar menggunakan skema </w:t>
      </w:r>
      <w:r>
        <w:rPr>
          <w:i/>
          <w:iCs/>
        </w:rPr>
        <w:t>random walk</w:t>
      </w:r>
      <w:r>
        <w:t xml:space="preserve"> dengan distribusi seragam (</w:t>
      </w:r>
      <w:r>
        <w:rPr>
          <w:i/>
          <w:iCs/>
        </w:rPr>
        <w:t>uniform distribution</w:t>
      </w:r>
      <w:r>
        <w:t xml:space="preserve">). </w:t>
      </w:r>
      <w:r>
        <w:rPr>
          <w:lang w:val="en-US"/>
        </w:rPr>
        <w:t>D</w:t>
      </w:r>
      <w:r>
        <w:t>alam studi optimasi evolusioner</w:t>
      </w:r>
      <w:r>
        <w:rPr>
          <w:lang w:val="en-US"/>
        </w:rPr>
        <w:t>, didapat</w:t>
      </w:r>
      <w:r>
        <w:t xml:space="preserve"> bahwa pendekatan berbasis </w:t>
      </w:r>
      <w:r>
        <w:rPr>
          <w:i/>
          <w:iCs/>
        </w:rPr>
        <w:t>random walk</w:t>
      </w:r>
      <w:r>
        <w:t xml:space="preserve"> murni tanpa memori historis cenderung tidak efisien dalam mengeksploitasi area solusi yang sempit</w:t>
      </w:r>
      <w:r>
        <w:rPr>
          <w:lang w:val="en-US"/>
        </w:rPr>
        <w:t xml:space="preserve"> </w:t>
      </w:r>
      <w:r>
        <w:rPr>
          <w:lang w:val="en-US"/>
        </w:rPr>
        <w:fldChar w:fldCharType="begin" w:fldLock="1"/>
      </w:r>
      <w:r>
        <w:rPr>
          <w:lang w:val="en-US"/>
        </w:rPr>
        <w:instrText xml:space="preserve">ADDIN CSL_CITATION {"citationItems":[{"id":"ITEM-1","itemData":{"DOI":"10.1109/TEVC.2009.2014613","ISSN":"1941-0026 VO  - 13","author":[{"dropping-particle":"","family":"Zhang","given":"J","non-dropping-particle":"","parse-names":false,"suffix":""},{"dropping-particle":"","family":"Sanderson","given":"A C","non-dropping-particle":"","parse-names":false,"suffix":""}],"container-title":"IEEE Transactions on Evolutionary Computation","id":"ITEM-1","issue":"5","issued":{"date-parts":[["2009"]]},"page":"945-958","title":"JADE: Adaptive Differential Evolution With Optional External Archive","type":"article-journal","volume":"13"},"uris":["http://www.mendeley.com/documents/?uuid=0cffff8b-0051-4ca6-94bd-6adcdc1a2602"]}],"mendeley":{"formattedCitation":"(Zhang dan Sanderson, 2009)","manualFormatting":"(Zhang dan Sanderson, 2009)","plainTextFormattedCitation":"(Zhang dan Sanderson, 2009)","previouslyFormattedCitation":"(Zhang dan Sanderson, 2009)"},"properties":{"noteIndex":0},"schema":"https://github.com/citation-style-language/schema/raw/master/csl-citation.json"}</w:instrText>
      </w:r>
      <w:r>
        <w:rPr>
          <w:lang w:val="en-US"/>
        </w:rPr>
        <w:fldChar w:fldCharType="separate"/>
      </w:r>
      <w:r>
        <w:rPr>
          <w:lang w:val="en-US"/>
        </w:rPr>
        <w:t>(Zhang dan Sanderson, 2009)</w:t>
      </w:r>
      <w:r>
        <w:rPr>
          <w:lang w:val="en-US"/>
        </w:rPr>
        <w:fldChar w:fldCharType="end"/>
      </w:r>
      <w:r>
        <w:t>. Akibatnya, FPA sering gagal memperhalus (</w:t>
      </w:r>
      <w:r>
        <w:rPr>
          <w:i/>
          <w:iCs/>
        </w:rPr>
        <w:t>fine-tuning</w:t>
      </w:r>
      <w:r>
        <w:t>) akurasi model pada tahap akhir iterasi karena langkah pencariannya tidak terarah dan tidak belajar dari kesuksesan iterasi sebelumnya (</w:t>
      </w:r>
      <w:r>
        <w:rPr>
          <w:i/>
          <w:iCs/>
        </w:rPr>
        <w:t>lack of success history archive</w:t>
      </w:r>
      <w:r>
        <w:t>).</w:t>
      </w:r>
    </w:p>
    <w:p w14:paraId="7CD1CAAE">
      <w:pPr>
        <w:spacing w:after="0"/>
        <w:ind w:left="360" w:firstLine="633"/>
      </w:pPr>
      <w:r>
        <w:t>Keterbatasan-keterbatasan ini menegaskan perlunya pengembangan varian hibrida (</w:t>
      </w:r>
      <w:r>
        <w:rPr>
          <w:bCs/>
        </w:rPr>
        <w:t>IFPOA-X</w:t>
      </w:r>
      <w:r>
        <w:t>) yang mengintegrasikan mekanisme adaptif (UCB1) dan strategi pencarian berbasis oposisi (OBL) untuk menjaga keseimbangan eksplorasi-eksploitasi dan mencegah stagnasi.</w:t>
      </w:r>
      <w:r>
        <w:rPr>
          <w:lang w:val="en-US"/>
        </w:rPr>
        <w:t xml:space="preserve"> </w:t>
      </w:r>
      <w:r>
        <w:t>Keterbatasan struktural di atas</w:t>
      </w:r>
      <w:r>
        <w:rPr>
          <w:lang w:val="en-US"/>
        </w:rPr>
        <w:t xml:space="preserve"> </w:t>
      </w:r>
      <w:r>
        <w:t xml:space="preserve">menegaskan perlunya pengembangan algoritma. Penelitian ini mengusulkan </w:t>
      </w:r>
      <w:r>
        <w:rPr>
          <w:bCs/>
        </w:rPr>
        <w:t>IFPOA-X</w:t>
      </w:r>
      <w:r>
        <w:t xml:space="preserve"> yang mengintegrasikan tiga mekanisme perbaikan spesifik</w:t>
      </w:r>
      <w:r>
        <w:rPr>
          <w:lang w:val="en-US"/>
        </w:rPr>
        <w:t xml:space="preserve"> </w:t>
      </w:r>
      <w:r>
        <w:rPr>
          <w:rFonts w:eastAsia="Times New Roman" w:cs="Times New Roman"/>
          <w:bCs/>
          <w:szCs w:val="24"/>
        </w:rPr>
        <w:t>Algoritma UCB1</w:t>
      </w:r>
      <w:r>
        <w:rPr>
          <w:rFonts w:eastAsia="Times New Roman" w:cs="Times New Roman"/>
          <w:szCs w:val="24"/>
        </w:rPr>
        <w:t xml:space="preserve"> untuk menyeimbangkan eksplorasi-eksploitasi secara dinamis</w:t>
      </w:r>
      <w:r>
        <w:rPr>
          <w:rFonts w:eastAsia="Times New Roman" w:cs="Times New Roman"/>
          <w:szCs w:val="24"/>
          <w:lang w:val="en-US"/>
        </w:rPr>
        <w:t xml:space="preserve">, </w:t>
      </w:r>
      <w:r>
        <w:rPr>
          <w:rFonts w:eastAsia="Times New Roman" w:cs="Times New Roman"/>
          <w:bCs/>
          <w:i/>
          <w:szCs w:val="24"/>
        </w:rPr>
        <w:t>Opposition Based Learning</w:t>
      </w:r>
      <w:r>
        <w:rPr>
          <w:rFonts w:eastAsia="Times New Roman" w:cs="Times New Roman"/>
          <w:bCs/>
          <w:szCs w:val="24"/>
        </w:rPr>
        <w:t xml:space="preserve"> (OBL)</w:t>
      </w:r>
      <w:r>
        <w:rPr>
          <w:rFonts w:eastAsia="Times New Roman" w:cs="Times New Roman"/>
          <w:szCs w:val="24"/>
        </w:rPr>
        <w:t xml:space="preserve"> untuk mencegah jebakan optimum lokal</w:t>
      </w:r>
      <w:r>
        <w:rPr>
          <w:rFonts w:eastAsia="Times New Roman" w:cs="Times New Roman"/>
          <w:szCs w:val="24"/>
          <w:lang w:val="en-US"/>
        </w:rPr>
        <w:t xml:space="preserve"> dan </w:t>
      </w:r>
      <w:r>
        <w:rPr>
          <w:rFonts w:eastAsia="Times New Roman" w:cs="Times New Roman"/>
          <w:bCs/>
          <w:szCs w:val="24"/>
        </w:rPr>
        <w:t>Strategi Adaptif JADE</w:t>
      </w:r>
      <w:r>
        <w:rPr>
          <w:rFonts w:eastAsia="Times New Roman" w:cs="Times New Roman"/>
          <w:szCs w:val="24"/>
        </w:rPr>
        <w:t xml:space="preserve"> untuk menggantikan </w:t>
      </w:r>
      <w:r>
        <w:rPr>
          <w:rFonts w:eastAsia="Times New Roman" w:cs="Times New Roman"/>
          <w:i/>
          <w:iCs/>
          <w:szCs w:val="24"/>
        </w:rPr>
        <w:t>random walk</w:t>
      </w:r>
      <w:r>
        <w:rPr>
          <w:rFonts w:eastAsia="Times New Roman" w:cs="Times New Roman"/>
          <w:szCs w:val="24"/>
        </w:rPr>
        <w:t xml:space="preserve"> biasa, sehingga pencarian lokal menjadi lebih terarah berbasis arsip keberhasilan historis</w:t>
      </w:r>
      <w:r>
        <w:rPr>
          <w:rFonts w:eastAsia="Times New Roman" w:cs="Times New Roman"/>
          <w:szCs w:val="24"/>
          <w:lang w:val="en-US"/>
        </w:rPr>
        <w:t xml:space="preserve"> </w:t>
      </w:r>
      <w:r>
        <w:rPr>
          <w:rFonts w:eastAsia="Times New Roman" w:cs="Times New Roman"/>
          <w:szCs w:val="24"/>
          <w:lang w:val="en-US"/>
        </w:rPr>
        <w:fldChar w:fldCharType="begin" w:fldLock="1"/>
      </w:r>
      <w:r>
        <w:rPr>
          <w:rFonts w:eastAsia="Times New Roman" w:cs="Times New Roman"/>
          <w:szCs w:val="24"/>
          <w:lang w:val="en-US"/>
        </w:rPr>
        <w:instrText xml:space="preserve">ADDIN CSL_CITATION {"citationItems":[{"id":"ITEM-1","itemData":{"DOI":"10.5281/zenodo.21331630","author":[{"dropping-particle":"","family":"Aji","given":"Tonny Wahyu","non-dropping-particle":"","parse-names":false,"suffix":""},{"dropping-particle":"","family":"Aji","given":"Tonny Wahyu","non-dropping-particle":"","parse-names":false,"suffix":""}],"id":"ITEM-1","issued":{"date-parts":[["2026"]]},"publisher":"Zenodo","title":"tonny2305/obl-origin-bias-audit: v1.0.0 — OBL Origin-Bias Audit Reproducibility Package","type":"article"},"uris":["http://www.mendeley.com/documents/?uuid=ce66195c-18db-47f3-8de7-ca43e91ee24d"]}],"mendeley":{"formattedCitation":"(Aji dan Aji, 2026)","manualFormatting":"(Aji, T.W, 2026)","plainTextFormattedCitation":"(Aji dan Aji, 2026)","previouslyFormattedCitation":"(Aji dan Aji, 2026)"},"properties":{"noteIndex":0},"schema":"https://github.com/citation-style-language/schema/raw/master/csl-citation.json"}</w:instrText>
      </w:r>
      <w:r>
        <w:rPr>
          <w:rFonts w:eastAsia="Times New Roman" w:cs="Times New Roman"/>
          <w:szCs w:val="24"/>
          <w:lang w:val="en-US"/>
        </w:rPr>
        <w:fldChar w:fldCharType="separate"/>
      </w:r>
      <w:r>
        <w:rPr>
          <w:rFonts w:eastAsia="Times New Roman" w:cs="Times New Roman"/>
          <w:szCs w:val="24"/>
          <w:lang w:val="en-US"/>
        </w:rPr>
        <w:t>(Aji, T.W, 2026)</w:t>
      </w:r>
      <w:r>
        <w:rPr>
          <w:rFonts w:eastAsia="Times New Roman" w:cs="Times New Roman"/>
          <w:szCs w:val="24"/>
          <w:lang w:val="en-US"/>
        </w:rPr>
        <w:fldChar w:fldCharType="end"/>
      </w:r>
      <w:r>
        <w:rPr>
          <w:rFonts w:eastAsia="Times New Roman" w:cs="Times New Roman"/>
          <w:szCs w:val="24"/>
        </w:rPr>
        <w:t>.</w:t>
      </w:r>
    </w:p>
    <w:p w14:paraId="17597E68">
      <w:pPr>
        <w:pStyle w:val="44"/>
      </w:pPr>
      <w:r>
        <w:t xml:space="preserve">d) </w:t>
      </w:r>
      <w:r>
        <w:rPr>
          <w:i/>
        </w:rPr>
        <w:t>Differential Evolution</w:t>
      </w:r>
      <w:r>
        <w:t xml:space="preserve"> dan </w:t>
      </w:r>
      <w:r>
        <w:rPr>
          <w:i/>
        </w:rPr>
        <w:t>JADE</w:t>
      </w:r>
      <w:r>
        <w:t xml:space="preserve"> (</w:t>
      </w:r>
      <w:r>
        <w:rPr>
          <w:i/>
        </w:rPr>
        <w:t>Adaptive Local Search</w:t>
      </w:r>
      <w:r>
        <w:t>)</w:t>
      </w:r>
    </w:p>
    <w:p w14:paraId="5F5325BC">
      <w:pPr>
        <w:spacing w:after="0"/>
        <w:ind w:left="284" w:firstLine="720"/>
        <w:rPr>
          <w:lang w:val="en-US"/>
        </w:rPr>
      </w:pPr>
      <w:r>
        <w:t>Meskipun operator global efektif dalam menemukan area potensial melalui eksplorasi luas, operator tersebut kurang optimal dalam melakukan perbaikan halus terhadap solusi yang sudah ditemukan</w:t>
      </w:r>
      <w:r>
        <w:rPr>
          <w:lang w:val="en-US"/>
        </w:rPr>
        <w:t xml:space="preserve"> (eksploitasi lokal)</w:t>
      </w:r>
      <w:r>
        <w:t>.</w:t>
      </w:r>
      <w:r>
        <w:rPr>
          <w:lang w:val="en-US"/>
        </w:rPr>
        <w:t xml:space="preserve"> Op</w:t>
      </w:r>
      <w:r>
        <w:t>erator lokal diperlukan untuk mengeksploitasi area potensial tersebut secara lebih</w:t>
      </w:r>
      <w:r>
        <w:rPr>
          <w:lang w:val="en-US"/>
        </w:rPr>
        <w:t xml:space="preserve"> teliti. </w:t>
      </w:r>
      <w:r>
        <w:rPr>
          <w:bCs/>
          <w:i/>
        </w:rPr>
        <w:t>Differential Evolution</w:t>
      </w:r>
      <w:r>
        <w:rPr>
          <w:bCs/>
        </w:rPr>
        <w:t xml:space="preserve"> (DE)</w:t>
      </w:r>
      <w:r>
        <w:t xml:space="preserve"> adalah algoritma optimasi yang mencari solusi terbaik dengan </w:t>
      </w:r>
      <w:r>
        <w:rPr>
          <w:bCs/>
        </w:rPr>
        <w:t>memperbaiki solusi yang sudah ada secara bertahap</w:t>
      </w:r>
      <w:r>
        <w:t>. DE membentuk solusi baru dengan memanfaatkan perbedaan antar beberapa solusi sebelumnya, lalu mempertahankan solusi yang memberikan hasil lebih baik</w:t>
      </w:r>
      <w:r>
        <w:rPr>
          <w:lang w:val="en-US"/>
        </w:rPr>
        <w:t xml:space="preserve">. </w:t>
      </w:r>
      <w:r>
        <w:t xml:space="preserve">JADE </w:t>
      </w:r>
      <w:r>
        <w:rPr>
          <w:lang w:val="en-US"/>
        </w:rPr>
        <w:t>d</w:t>
      </w:r>
      <w:r>
        <w:t xml:space="preserve">ikembangkan untuk menyempurnakan </w:t>
      </w:r>
      <w:r>
        <w:rPr>
          <w:i/>
          <w:iCs/>
        </w:rPr>
        <w:t>Differential Evolution</w:t>
      </w:r>
      <w:r>
        <w:t xml:space="preserve"> (DE)</w:t>
      </w:r>
      <w:r>
        <w:rPr>
          <w:lang w:val="en-US"/>
        </w:rPr>
        <w:t xml:space="preserve"> yang </w:t>
      </w:r>
      <w:r>
        <w:t>menawarkan solusi bagi masalah sensitivitas parameter yang sering ditemui di DE konvensional. JADE mampu mengatur strategi pencariannya sendiri</w:t>
      </w:r>
      <w:r>
        <w:rPr>
          <w:lang w:val="en-US"/>
        </w:rPr>
        <w:t xml:space="preserve"> </w:t>
      </w:r>
      <w:r>
        <w:t>tanpa butuh intervensi rumit dari pengguna</w:t>
      </w:r>
      <w:r>
        <w:rPr>
          <w:lang w:val="en-US"/>
        </w:rPr>
        <w:t xml:space="preserve"> </w:t>
      </w:r>
      <w:r>
        <w:rPr>
          <w:lang w:val="en-US"/>
        </w:rPr>
        <w:fldChar w:fldCharType="begin" w:fldLock="1"/>
      </w:r>
      <w:r>
        <w:rPr>
          <w:lang w:val="en-US"/>
        </w:rPr>
        <w:instrText xml:space="preserve">ADDIN CSL_CITATION {"citationItems":[{"id":"ITEM-1","itemData":{"DOI":"10.1109/TEVC.2009.2014613","ISSN":"1941-0026 VO  - 13","author":[{"dropping-particle":"","family":"Zhang","given":"J","non-dropping-particle":"","parse-names":false,"suffix":""},{"dropping-particle":"","family":"Sanderson","given":"A C","non-dropping-particle":"","parse-names":false,"suffix":""}],"container-title":"IEEE Transactions on Evolutionary Computation","id":"ITEM-1","issue":"5","issued":{"date-parts":[["2009"]]},"page":"945-958","title":"JADE: Adaptive Differential Evolution With Optional External Archive","type":"article-journal","volume":"13"},"uris":["http://www.mendeley.com/documents/?uuid=0cffff8b-0051-4ca6-94bd-6adcdc1a2602"]}],"mendeley":{"formattedCitation":"(Zhang dan Sanderson, 2009)","manualFormatting":"(Zhang dan Sanderson, 2009)","plainTextFormattedCitation":"(Zhang dan Sanderson, 2009)","previouslyFormattedCitation":"(Zhang dan Sanderson, 2009)"},"properties":{"noteIndex":0},"schema":"https://github.com/citation-style-language/schema/raw/master/csl-citation.json"}</w:instrText>
      </w:r>
      <w:r>
        <w:rPr>
          <w:lang w:val="en-US"/>
        </w:rPr>
        <w:fldChar w:fldCharType="separate"/>
      </w:r>
      <w:r>
        <w:rPr>
          <w:lang w:val="en-US"/>
        </w:rPr>
        <w:t>(Zhang dan Sanderson, 2009)</w:t>
      </w:r>
      <w:r>
        <w:rPr>
          <w:lang w:val="en-US"/>
        </w:rPr>
        <w:fldChar w:fldCharType="end"/>
      </w:r>
      <w:r>
        <w:t xml:space="preserve">. </w:t>
      </w:r>
    </w:p>
    <w:p w14:paraId="13DB81DB">
      <w:pPr>
        <w:pStyle w:val="44"/>
      </w:pPr>
      <w:r>
        <w:t xml:space="preserve">e) </w:t>
      </w:r>
      <w:r>
        <w:rPr>
          <w:i/>
        </w:rPr>
        <w:t xml:space="preserve">Lévy Flights </w:t>
      </w:r>
      <w:r>
        <w:t xml:space="preserve">dan </w:t>
      </w:r>
      <w:r>
        <w:rPr>
          <w:i/>
        </w:rPr>
        <w:t>Heavy-Tailed Distributions</w:t>
      </w:r>
      <w:r>
        <w:t xml:space="preserve"> (</w:t>
      </w:r>
      <w:r>
        <w:rPr>
          <w:i/>
        </w:rPr>
        <w:t>Global Search</w:t>
      </w:r>
      <w:r>
        <w:t>)</w:t>
      </w:r>
    </w:p>
    <w:p w14:paraId="671158E4">
      <w:pPr>
        <w:spacing w:after="0"/>
        <w:ind w:left="284" w:firstLine="720"/>
        <w:rPr>
          <w:lang w:val="en-US"/>
        </w:rPr>
      </w:pPr>
      <w:r>
        <w:t xml:space="preserve">Algoritma </w:t>
      </w:r>
      <w:r>
        <w:rPr>
          <w:lang w:val="en-US"/>
        </w:rPr>
        <w:t>FPA</w:t>
      </w:r>
      <w:r>
        <w:t xml:space="preserve"> berlandaskan pada dua mekanisme perpindahan serbuk sari, yaitu skala lokal dan global. Pada fase global, serangga berperan sebagai agen polinator yang membawa serbuk sari dalam jarak jauh. Pola pergerakan ini dimodelkan menggunakan </w:t>
      </w:r>
      <w:r>
        <w:rPr>
          <w:i/>
          <w:iCs/>
        </w:rPr>
        <w:t>Lévy Flights</w:t>
      </w:r>
      <w:r>
        <w:rPr>
          <w:i/>
          <w:iCs/>
          <w:lang w:val="en-US"/>
        </w:rPr>
        <w:t xml:space="preserve"> </w:t>
      </w:r>
      <w:r>
        <w:rPr>
          <w:iCs/>
          <w:lang w:val="en-US"/>
        </w:rPr>
        <w:t>(</w:t>
      </w:r>
      <w:r>
        <w:rPr>
          <w:i/>
          <w:iCs/>
          <w:lang w:val="en-US"/>
        </w:rPr>
        <w:t>L</w:t>
      </w:r>
      <w:r>
        <w:rPr>
          <w:iCs/>
          <w:lang w:val="en-US"/>
        </w:rPr>
        <w:t>)</w:t>
      </w:r>
      <w:r>
        <w:t xml:space="preserve">, sebuah metode </w:t>
      </w:r>
      <w:r>
        <w:rPr>
          <w:i/>
          <w:iCs/>
        </w:rPr>
        <w:t>random walk</w:t>
      </w:r>
      <w:r>
        <w:t xml:space="preserve"> yang merepresentasikan strategi pencarian makan hewan di alam liar</w:t>
      </w:r>
      <w:r>
        <w:rPr>
          <w:lang w:val="en-US"/>
        </w:rPr>
        <w:t xml:space="preserve"> yang biasanya </w:t>
      </w:r>
      <w:r>
        <w:t xml:space="preserve">berpindah jarak jauh dengan berbagai langkah tempuh. Distribusi </w:t>
      </w:r>
      <w:r>
        <w:rPr>
          <w:i/>
        </w:rPr>
        <w:t>Lévy</w:t>
      </w:r>
      <w:r>
        <w:t xml:space="preserve"> memiliki karakteristik </w:t>
      </w:r>
      <w:r>
        <w:rPr>
          <w:i/>
          <w:iCs/>
        </w:rPr>
        <w:t>heavy-tailed</w:t>
      </w:r>
      <w:r>
        <w:t xml:space="preserve"> yang memungkinkan terjadinya loncatan jarak jauh dengan probabilitas lebih tinggi dibandingkan distribusi normal. Pola pergerakan ini sangat efektif dalam optimasi karena mekanisme </w:t>
      </w:r>
      <w:r>
        <w:rPr>
          <w:i/>
          <w:iCs/>
        </w:rPr>
        <w:t>Lévy Flights</w:t>
      </w:r>
      <w:r>
        <w:t xml:space="preserve"> dapat mencegah stagnasi pada solusi lokal melalui eksplorasi area baru secara tiba-tiba. Dalam penerapannya, komputasi sering menggunakan algoritma </w:t>
      </w:r>
      <w:r>
        <w:rPr>
          <w:i/>
        </w:rPr>
        <w:t>Mantegna</w:t>
      </w:r>
      <w:r>
        <w:t xml:space="preserve"> dengan parameter standar 1.5, yang dinilai memberikan keseimbangan optimal antara ketelitian pencarian lokal dan jangkauan eksplorasi global </w:t>
      </w:r>
      <w:r>
        <w:fldChar w:fldCharType="begin" w:fldLock="1"/>
      </w:r>
      <w:r>
        <w:instrText xml:space="preserve">ADDIN CSL_CITATION {"citationItems":[{"id":"ITEM-1","itemData":{"DOI":"10.1007/s00500-021-06230-1","author":[{"dropping-particle":"","family":"Mergos","given":"Panagiotis E","non-dropping-particle":"","parse-names":false,"suffix":""},{"dropping-particle":"","family":"Yang","given":"Xin‐She","non-dropping-particle":"","parse-names":false,"suffix":""}],"container-title":"Soft Computing","id":"ITEM-1","issue":"22","issued":{"date-parts":[["2021"]]},"page":"14429-14447","title":"Flower Pollination Algorithm Parameters Tuning","type":"article-journal","volume":"25"},"uris":["http://www.mendeley.com/documents/?uuid=45f49e85-d864-42b7-af69-a44698fb94eb"]}],"mendeley":{"formattedCitation":"(Mergos dan Yang, 2021)","manualFormatting":"(Mergos dan Yang, 2021)","plainTextFormattedCitation":"(Mergos dan Yang, 2021)","previouslyFormattedCitation":"(Mergos dan Yang, 2021)"},"properties":{"noteIndex":0},"schema":"https://github.com/citation-style-language/schema/raw/master/csl-citation.json"}</w:instrText>
      </w:r>
      <w:r>
        <w:fldChar w:fldCharType="separate"/>
      </w:r>
      <w:r>
        <w:t>(Mergos dan Yang, 2021)</w:t>
      </w:r>
      <w:r>
        <w:fldChar w:fldCharType="end"/>
      </w:r>
      <w:r>
        <w:t>.</w:t>
      </w:r>
      <w:r>
        <w:rPr>
          <w:lang w:val="en-US"/>
        </w:rPr>
        <w:t xml:space="preserve"> </w:t>
      </w:r>
    </w:p>
    <w:p w14:paraId="1F8C14B9">
      <w:pPr>
        <w:pStyle w:val="44"/>
      </w:pPr>
      <w:r>
        <w:t xml:space="preserve">f) </w:t>
      </w:r>
      <w:r>
        <w:rPr>
          <w:i/>
        </w:rPr>
        <w:t>Opposition-Based Learning</w:t>
      </w:r>
      <w:r>
        <w:t xml:space="preserve"> (OBL)</w:t>
      </w:r>
    </w:p>
    <w:p w14:paraId="5C03B447">
      <w:pPr>
        <w:spacing w:after="0"/>
        <w:ind w:left="284" w:firstLine="720"/>
        <w:rPr>
          <w:rFonts w:cs="Times New Roman"/>
          <w:lang w:val="en-US"/>
        </w:rPr>
      </w:pPr>
      <w:r>
        <w:rPr>
          <w:i/>
          <w:iCs/>
        </w:rPr>
        <w:t>Opposition-Based Learning</w:t>
      </w:r>
      <w:r>
        <w:t xml:space="preserve"> (OBL) merupakan strategi optimasi yang bekerja dengan mengevaluasi sebuah solusi sekaligus posisi kebalikannya secara bersamaan. Prinsip dasarnya sederhana</w:t>
      </w:r>
      <w:r>
        <w:rPr>
          <w:lang w:val="en-US"/>
        </w:rPr>
        <w:t>,</w:t>
      </w:r>
      <w:r>
        <w:t xml:space="preserve"> karena lokasi solusi terbaik (optimal) belum diketahui, ada kemungkinan besar bahwa solusi tersebut justru berada di arah yang berlawanan dari posisi saat ini. Dengan membandingkan kandidat asli dan kandidat "lawan" yang dihitung berdasarkan batas ruang pencarian, metode ini memungkinkan algoritma melakukan eksplorasi yang lebih agresif dan luas dibandingkan metode pencarian acak biasa </w:t>
      </w:r>
      <w:r>
        <w:fldChar w:fldCharType="begin" w:fldLock="1"/>
      </w:r>
      <w:r>
        <w:instrText xml:space="preserve">ADDIN CSL_CITATION {"citationItems":[{"id":"ITEM-1","itemData":{"DOI":"10.3390/biomimetics9040215","abstract":"One of the most important tasks in handling real-world global optimization problems is to achieve a balance between exploration and exploitation in any nature-inspired optimization method. As a result, the search agents of an algorithm constantly strive to investigate the unexplored regions of a search space. Aquila Optimizer (AO) is a recent addition to the field of metaheuristics that finds the solution to an optimization problem using the hunting behavior of Aquila. However, in some cases, AO skips the true solutions and is trapped at sub-optimal solutions. These problems lead to premature convergence (stagnation), which is harmful in determining the global optima. Therefore, to solve the above-mentioned problem, the present study aims to establish comparatively better synergy between exploration and exploitation and to escape from local stagnation in AO. In this direction, firstly, the exploration ability of AO is improved by integrating Dynamic Random Walk (DRW), and, secondly, the balance between exploration and exploitation is maintained through Dynamic Oppositional Learning (DOL). Due to its dynamic search space and low complexity, the DOL-inspired DRW technique is more computationally efficient and has higher exploration potential for convergence to the best optimum. This allows the algorithm to be improved even further and prevents premature convergence. The proposed algorithm is named DAO. A well-known set of CEC2017 and CEC2019 benchmark functions as well as three engineering problems are used for the performance evaluation. The superior ability of the proposed DAO is demonstrated by the examination of the numerical data produced and its comparison with existing metaheuristic algorithms.","author":[{"dropping-particle":"","family":"Varshney","given":"Megha","non-dropping-particle":"","parse-names":false,"suffix":""},{"dropping-particle":"","family":"Kumar","given":"Pravesh","non-dropping-particle":"","parse-names":false,"suffix":""},{"dropping-particle":"","family":"Ali","given":"Musrrat","non-dropping-particle":"","parse-names":false,"suffix":""},{"dropping-particle":"","family":"Gulzar","given":"Yonis","non-dropping-particle":"","parse-names":false,"suffix":""}],"container-title":"Biomimetics","id":"ITEM-1","issue":"4","issued":{"date-parts":[["2024"]]},"page":"215","title":"Dynamic Random Walk and Dynamic Opposition Learning for Improving Aquila Optimizer: Solving Constrained Engineering Design Problems","type":"article-journal","volume":"9"},"uris":["http://www.mendeley.com/documents/?uuid=79d3a2fb-1474-4b3c-8bc6-36ba2df80c4f"]}],"mendeley":{"formattedCitation":"(Varshney dkk., 2024)","manualFormatting":"(Varshney dkk., 2024)","plainTextFormattedCitation":"(Varshney dkk., 2024)","previouslyFormattedCitation":"(Varshney &lt;i&gt;et al.&lt;/i&gt;, 2024)"},"properties":{"noteIndex":0},"schema":"https://github.com/citation-style-language/schema/raw/master/csl-citation.json"}</w:instrText>
      </w:r>
      <w:r>
        <w:fldChar w:fldCharType="separate"/>
      </w:r>
      <w:r>
        <w:t>(Varshney dkk., 2024)</w:t>
      </w:r>
      <w:r>
        <w:fldChar w:fldCharType="end"/>
      </w:r>
      <w:r>
        <w:t>.</w:t>
      </w:r>
      <w:r>
        <w:rPr>
          <w:rFonts w:cs="Times New Roman"/>
          <w:lang w:val="en-US"/>
        </w:rPr>
        <w:t xml:space="preserve"> </w:t>
      </w:r>
    </w:p>
    <w:p w14:paraId="1527F50B">
      <w:pPr>
        <w:pStyle w:val="44"/>
      </w:pPr>
      <w:r>
        <w:t xml:space="preserve">g) </w:t>
      </w:r>
      <w:r>
        <w:rPr>
          <w:i/>
        </w:rPr>
        <w:t>Boolean Switching</w:t>
      </w:r>
      <w:r>
        <w:t xml:space="preserve"> dan </w:t>
      </w:r>
      <w:r>
        <w:rPr>
          <w:i/>
        </w:rPr>
        <w:t>Adaptive Strategies</w:t>
      </w:r>
    </w:p>
    <w:p w14:paraId="38F05407">
      <w:pPr>
        <w:spacing w:after="0"/>
        <w:ind w:left="284" w:firstLine="720"/>
        <w:rPr>
          <w:rFonts w:cs="Times New Roman"/>
        </w:rPr>
      </w:pPr>
      <w:r>
        <w:t xml:space="preserve">Dalam arsitektur optimasi metaheuristik, integrasi strategi adaptif merupakan komponen fundamental untuk menyeimbangkan dualitas pencarian antara eksplorasi ruang solusi yang luas dan eksploitasi area potensial. Berbeda dengan pendekatan statis yang cenderung kaku, mekanisme adaptif memungkinkan sistem untuk merekonfigurasi perilaku pencariannya secara dinamis berdasarkan umpan balik kinerja </w:t>
      </w:r>
      <w:r>
        <w:rPr>
          <w:i/>
          <w:iCs/>
        </w:rPr>
        <w:t>real-time</w:t>
      </w:r>
      <w:r>
        <w:t>, sehingga meningkatkan fleksibilitas</w:t>
      </w:r>
      <w:r>
        <w:rPr>
          <w:lang w:val="en-US"/>
        </w:rPr>
        <w:t xml:space="preserve"> komputasi</w:t>
      </w:r>
      <w:r>
        <w:t xml:space="preserve">. Kerangka matematis yang umum diadopsi untuk memfasilitasi keputusan </w:t>
      </w:r>
      <w:r>
        <w:rPr>
          <w:i/>
          <w:iCs/>
        </w:rPr>
        <w:t>switching</w:t>
      </w:r>
      <w:r>
        <w:t xml:space="preserve"> ini adalah </w:t>
      </w:r>
      <w:r>
        <w:rPr>
          <w:i/>
          <w:iCs/>
        </w:rPr>
        <w:t>Upper Confidence Bound</w:t>
      </w:r>
      <w:r>
        <w:t xml:space="preserve"> (UCB1), sebuah algoritma dari domain </w:t>
      </w:r>
      <w:r>
        <w:rPr>
          <w:i/>
          <w:iCs/>
        </w:rPr>
        <w:t>Multi-Armed Bandit</w:t>
      </w:r>
      <w:r>
        <w:t xml:space="preserve"> yang menyeleksi operator terbaik, di mana operator dengan nilai UCB tertinggi akan diprioritaskan pada setiap iterasi. Mekanisme ini secara signifikan memitigasi risiko konvergensi prematur yang kerap menjangkiti metode konvensional</w:t>
      </w:r>
      <w:r>
        <w:rPr>
          <w:lang w:val="en-US"/>
        </w:rPr>
        <w:t xml:space="preserve"> </w:t>
      </w:r>
      <w:r>
        <w:rPr>
          <w:lang w:val="en-US"/>
        </w:rPr>
        <w:fldChar w:fldCharType="begin" w:fldLock="1"/>
      </w:r>
      <w:r>
        <w:rPr>
          <w:lang w:val="en-US"/>
        </w:rPr>
        <w:instrText xml:space="preserve">ADDIN CSL_CITATION {"citationItems":[{"id":"ITEM-1","itemData":{"author":[{"dropping-particle":"","family":"Zhou","given":"Dongruo","non-dropping-particle":"","parse-names":false,"suffix":""},{"dropping-particle":"","family":"Li","given":"Lihong","non-dropping-particle":"","parse-names":false,"suffix":""},{"dropping-particle":"","family":"Gu","given":"Quanquan","non-dropping-particle":"","parse-names":false,"suffix":""}],"id":"ITEM-1","issued":{"date-parts":[["2020"]]},"title":"Neural Contextual Bandits with UCB-based Exploration","type":"article"},"uris":["http://www.mendeley.com/documents/?uuid=70c8f7fa-16e3-4ca7-ab02-fd57455ab340"]}],"mendeley":{"formattedCitation":"(Zhou dkk., 2020)","manualFormatting":"(Zhou, Li dan Gu, 2020)","plainTextFormattedCitation":"(Zhou dkk., 2020)","previouslyFormattedCitation":"(Zhou, Li dan Gu, 2020)"},"properties":{"noteIndex":0},"schema":"https://github.com/citation-style-language/schema/raw/master/csl-citation.json"}</w:instrText>
      </w:r>
      <w:r>
        <w:rPr>
          <w:lang w:val="en-US"/>
        </w:rPr>
        <w:fldChar w:fldCharType="separate"/>
      </w:r>
      <w:r>
        <w:rPr>
          <w:lang w:val="en-US"/>
        </w:rPr>
        <w:t>(Zhou, Li dan Gu, 2020)</w:t>
      </w:r>
      <w:r>
        <w:rPr>
          <w:lang w:val="en-US"/>
        </w:rPr>
        <w:fldChar w:fldCharType="end"/>
      </w:r>
      <w:r>
        <w:rPr>
          <w:lang w:val="en-US"/>
        </w:rPr>
        <w:t>.</w:t>
      </w:r>
    </w:p>
    <w:p w14:paraId="76D470BF">
      <w:pPr>
        <w:pStyle w:val="44"/>
      </w:pPr>
      <w:r>
        <w:t>h) Optimasi Multi-Objektif</w:t>
      </w:r>
    </w:p>
    <w:p w14:paraId="4EF65848">
      <w:pPr>
        <w:ind w:left="284" w:firstLine="720"/>
        <w:rPr>
          <w:bCs/>
          <w:lang w:val="zh-CN"/>
        </w:rPr>
      </w:pPr>
      <w:r>
        <w:rPr>
          <w:bCs/>
          <w:lang w:val="zh-CN"/>
        </w:rPr>
        <w:t>Optimasi multi-objektif dirancang untuk menyelesaikan permasalahan dengan fungsi tujuan jamak yang saling bertentangan, di mana tujuannya bukan mencari satu solusi tunggal, melainkan himpunan solusi terbaik (</w:t>
      </w:r>
      <w:r>
        <w:rPr>
          <w:bCs/>
          <w:i/>
          <w:iCs/>
          <w:lang w:val="zh-CN"/>
        </w:rPr>
        <w:t>Pareto dominance</w:t>
      </w:r>
      <w:r>
        <w:rPr>
          <w:bCs/>
          <w:lang w:val="zh-CN"/>
        </w:rPr>
        <w:t xml:space="preserve">). Melalui prinsip </w:t>
      </w:r>
      <w:r>
        <w:rPr>
          <w:bCs/>
          <w:i/>
          <w:iCs/>
          <w:lang w:val="zh-CN"/>
        </w:rPr>
        <w:t>Pareto dominance</w:t>
      </w:r>
      <w:r>
        <w:rPr>
          <w:bCs/>
          <w:lang w:val="zh-CN"/>
        </w:rPr>
        <w:t xml:space="preserve">, metode ini memetakan </w:t>
      </w:r>
      <w:r>
        <w:rPr>
          <w:bCs/>
          <w:i/>
          <w:lang w:val="zh-CN"/>
        </w:rPr>
        <w:t>Pareto front</w:t>
      </w:r>
      <w:r>
        <w:rPr>
          <w:bCs/>
          <w:lang w:val="zh-CN"/>
        </w:rPr>
        <w:t xml:space="preserve"> yang merepresentasikan batas efisiensi </w:t>
      </w:r>
      <w:r>
        <w:rPr>
          <w:bCs/>
          <w:i/>
          <w:iCs/>
          <w:lang w:val="zh-CN"/>
        </w:rPr>
        <w:t>trade-off</w:t>
      </w:r>
      <w:r>
        <w:rPr>
          <w:bCs/>
          <w:lang w:val="zh-CN"/>
        </w:rPr>
        <w:t xml:space="preserve"> maksimal</w:t>
      </w:r>
      <w:r>
        <w:rPr>
          <w:bCs/>
          <w:i/>
          <w:iCs/>
          <w:lang w:val="zh-CN"/>
        </w:rPr>
        <w:t xml:space="preserve"> </w:t>
      </w:r>
      <w:r>
        <w:rPr>
          <w:lang w:val="en-US"/>
        </w:rPr>
        <w:t>(</w:t>
      </w:r>
      <w:r>
        <w:rPr>
          <w:i/>
          <w:lang w:val="en-US"/>
        </w:rPr>
        <w:t>t</w:t>
      </w:r>
      <w:r>
        <w:rPr>
          <w:i/>
        </w:rPr>
        <w:t>rade-off</w:t>
      </w:r>
      <w:r>
        <w:t>: kondisi kompromi di mana peningkatan satu objektif hanya dapat dicapai dengan mengorbankan objektif lain</w:t>
      </w:r>
      <w:r>
        <w:rPr>
          <w:lang w:val="en-US"/>
        </w:rPr>
        <w:t>)</w:t>
      </w:r>
      <w:r>
        <w:rPr>
          <w:bCs/>
          <w:lang w:val="zh-CN"/>
        </w:rPr>
        <w:t xml:space="preserve">. Peningkatan kinerja pada satu objektif niscaya memerlukan pengorbanan pada objektif lainnya. Hal ini menjadi landasan krusial dalam sistem untuk menyeimbangkan antara akurasi, </w:t>
      </w:r>
      <w:r>
        <w:rPr>
          <w:bCs/>
          <w:i/>
          <w:lang w:val="zh-CN"/>
        </w:rPr>
        <w:t xml:space="preserve">robust </w:t>
      </w:r>
      <w:r>
        <w:rPr>
          <w:bCs/>
          <w:lang w:val="zh-CN"/>
        </w:rPr>
        <w:t xml:space="preserve">dan efisiensi komputasi </w:t>
      </w:r>
      <w:r>
        <w:rPr>
          <w:lang w:val="en-US"/>
        </w:rPr>
        <w:fldChar w:fldCharType="begin" w:fldLock="1"/>
      </w:r>
      <w:r>
        <w:rPr>
          <w:lang w:val="en-US"/>
        </w:rPr>
        <w:instrText xml:space="preserve">ADDIN CSL_CITATION {"citationItems":[{"id":"ITEM-1","itemData":{"DOI":"10.1016/j.compfluid.2011.03.007","abstract":" a b s t r a c tA number of Game Strategies (GS) have been developed in past decades. They have been used in the fields of economics, engineering, computer science and biology due to their efficiency in solving design optimization problems. In addition, research in multi-objective (MO) and multidisciplinary design optimization (MDO) has focused on developing robust and efficient optimization methods to produce a set of high quality solutions with low computational cost. In this paper, two optimization techniques are considered; the first optimization method uses multi-fidelity hierarchical Pareto optimality. The second optimization method uses the combination of two Game Strategies; Nash-equilibrium and Pareto optimality. The paper shows how Game Strategies can be hybridised and coupled to Multi-Objective Evolutionary Algorithms (MOEA) to accelerate convergence speed and to produce a set of high quality solutions. Numerical results obtained from both optimization methods are compared in terms of computational expense and model quality. The benefits of using Hybrid-Game Strategies are clearly demonstrated. ","author":[{"dropping-particle":"","family":"Lee","given":"DongSeop","non-dropping-particle":"","parse-names":false,"suffix":""},{"dropping-particle":"","family":"Gonzalez","given":"Luis Felipe","non-dropping-particle":"","parse-names":false,"suffix":""},{"dropping-particle":"","family":"Periaux","given":"Jacques","non-dropping-particle":"","parse-names":false,"suffix":""},{"dropping-particle":"","family":"Srinivas","given":"Karkenahalli","non-dropping-particle":"","parse-names":false,"suffix":""},{"dropping-particle":"","family":"Onate","given":"Eugenio","non-dropping-particle":"","parse-names":false,"suffix":""}],"container-title":"Computers &amp;Amp; Fluids","id":"ITEM-1","issue":"1","issued":{"date-parts":[["2011"]]},"page":"189-204","title":"Hybrid-Game Strategies for Multi-Objective Design Optimization in Engineering","type":"article-journal","volume":"47"},"uris":["http://www.mendeley.com/documents/?uuid=04085b9d-85a1-4e50-bca0-474b1446121c"]}],"mendeley":{"formattedCitation":"(Lee dkk., 2011)","manualFormatting":"(Lee dkk., 2011)","plainTextFormattedCitation":"(Lee dkk., 2011)","previouslyFormattedCitation":"(Lee &lt;i&gt;et al.&lt;/i&gt;, 2011)"},"properties":{"noteIndex":0},"schema":"https://github.com/citation-style-language/schema/raw/master/csl-citation.json"}</w:instrText>
      </w:r>
      <w:r>
        <w:rPr>
          <w:lang w:val="en-US"/>
        </w:rPr>
        <w:fldChar w:fldCharType="separate"/>
      </w:r>
      <w:r>
        <w:rPr>
          <w:lang w:val="en-US"/>
        </w:rPr>
        <w:t>(Lee dkk., 2011)</w:t>
      </w:r>
      <w:r>
        <w:rPr>
          <w:lang w:val="en-US"/>
        </w:rPr>
        <w:fldChar w:fldCharType="end"/>
      </w:r>
      <w:r>
        <w:rPr>
          <w:bCs/>
          <w:lang w:val="zh-CN"/>
        </w:rPr>
        <w:t>.</w:t>
      </w:r>
    </w:p>
    <w:p w14:paraId="5BA59699">
      <w:pPr>
        <w:pStyle w:val="4"/>
        <w:rPr>
          <w:i/>
        </w:rPr>
      </w:pPr>
      <w:bookmarkStart w:id="31" w:name="_Toc236076728"/>
      <w:r>
        <w:t>2.2.</w:t>
      </w:r>
      <w:r>
        <w:rPr>
          <w:lang w:val="en-US"/>
        </w:rPr>
        <w:t>3</w:t>
      </w:r>
      <w:r>
        <w:t xml:space="preserve"> </w:t>
      </w:r>
      <w:r>
        <w:rPr>
          <w:i/>
        </w:rPr>
        <w:t>Hyperparameter Optimization</w:t>
      </w:r>
      <w:bookmarkEnd w:id="31"/>
    </w:p>
    <w:p w14:paraId="7A8F609E">
      <w:pPr>
        <w:pStyle w:val="44"/>
      </w:pPr>
      <w:r>
        <w:t xml:space="preserve">a) Konsep </w:t>
      </w:r>
      <w:r>
        <w:rPr>
          <w:i/>
        </w:rPr>
        <w:t>Hyperparameter Optimization</w:t>
      </w:r>
    </w:p>
    <w:p w14:paraId="697A82F5">
      <w:pPr>
        <w:spacing w:after="0"/>
        <w:ind w:left="284" w:firstLine="720"/>
        <w:rPr>
          <w:lang w:val="zh-CN"/>
        </w:rPr>
      </w:pPr>
      <w:r>
        <w:rPr>
          <w:lang w:val="zh-CN"/>
        </w:rPr>
        <w:t xml:space="preserve">Dalam pengembangan model kecerdasan buatan seperti </w:t>
      </w:r>
      <w:r>
        <w:rPr>
          <w:i/>
          <w:lang w:val="zh-CN"/>
        </w:rPr>
        <w:t>Transformer</w:t>
      </w:r>
      <w:r>
        <w:rPr>
          <w:lang w:val="zh-CN"/>
        </w:rPr>
        <w:t>, terdapat perbedaan jelas antara "isi otak" yang dipelajari model secara mandiri (parameter) dan "aturan main" yang wajib diatur secara manual sejak awal (</w:t>
      </w:r>
      <w:r>
        <w:rPr>
          <w:i/>
          <w:lang w:val="zh-CN"/>
        </w:rPr>
        <w:t>hyperparameter</w:t>
      </w:r>
      <w:r>
        <w:rPr>
          <w:lang w:val="zh-CN"/>
        </w:rPr>
        <w:t>). Pengaturan manual ini sangat vital karena perubahan kecil pada angka-angka ini bisa menentukan apakah model akan menjadi sangat cerdas atau justru gagal dalam mengenali pola (seperti menentukan seberapa besar kapasitas model, jumlah lapisan pemrosesan, atau kecepatan belajarnya</w:t>
      </w:r>
      <w:r>
        <w:rPr>
          <w:lang w:val="zh-CN"/>
        </w:rPr>
        <w:fldChar w:fldCharType="begin" w:fldLock="1"/>
      </w:r>
      <w:r>
        <w:rPr>
          <w:lang w:val="zh-CN"/>
        </w:rPr>
        <w:instrText xml:space="preserve">ADDIN CSL_CITATION {"citationItems":[{"id":"ITEM-1","itemData":{"DOI":"10.1038/s41598-024-77687-x","abstract":"AbstractPredicting rainfall is a challenging and critical task due to its significant impact on society. Timely and accurate predictions are essential for minimizing human and financial losses. The dependence of approximately 60% of agricultural land in India on monsoon rainfall implies the crucial nature of accurate rainfall prediction. Precise rainfall forecasts can facilitate early preparedness for disasters associated with heavy rains, enabling the public and government to take necessary precautions. In the North-Western Himalayas, where meteorological data are limited, the need for improved accuracy in traditional modeling methods for rainfall forecasting is pressing. To address this, our study proposes the application of advanced machine learning (ML) algorithms, including random forest (RF), support vector regression (SVR), artificial neural network (ANN), and k-nearest neighbour (KNN) along with various deep learning (DL) algorithms such as long short-term memory (LSTM), bi-directional LSTM, deep LSTM, gated recurrent unit (GRU), and simple recurrent neural network (RNN). These advanced techniques hold the potential to significantly improve the accuracy of rainfall prediction, offering hope for more reliable forecasts. Additionally, time series techniques, including autoregressive integrated moving average (ARIMA) and trigonometric, Box-Cox transform, arma errors, trend, and seasonal components (TBATS), are proposed for predicting rainfall across the altitudinal gradients of India’s North-Western Himalayas. This approach can potentially revolutionise how we approach rainfall forecasting, ushering in a new era of accuracy and reliability. The effectiveness and accuracy of the proposed algorithms were assessed using meteorological data obtained from six weather stations at different elevations spanning from 1980 to 2021. The results indicate that DL methods exhibit the highest accuracy in predicting rainfall, as measured by the root mean squared error (RMSE) and mean absolute error (MAE), followed by ML algorithms and time series techniques. Among the DL algorithms, the accuracy order was bi-directional LSTM, LSTM, RNN, deep LSTM, and GRU. For the ML algorithms, the accuracy order was ANN, KNN, SVR, and RF. These findings suggest that altitude significantly affects the accuracy of the models, highlighting the need for additional weather stations in this mountainous region to enhance the precision of rainfall prediction.","author":[{"dropping-particle":"","family":"Wani","given":"Owais Ali","non-dropping-particle":"","parse-names":false,"suffix":""},{"dropping-particle":"","family":"Mahdi","given":"Syed Sheraz","non-dropping-particle":"","parse-names":false,"suffix":""},{"dropping-particle":"","family":"Yeasin","given":"Md.","non-dropping-particle":"","parse-names":false,"suffix":""},{"dropping-particle":"","family":"Kumar","given":"Shamal Shasang","non-dropping-particle":"","parse-names":false,"suffix":""},{"dropping-particle":"","family":"Gagnon","given":"Alexandre S","non-dropping-particle":"","parse-names":false,"suffix":""},{"dropping-particle":"","family":"Danish","given":"Faizan","non-dropping-particle":"","parse-names":false,"suffix":""},{"dropping-particle":"","family":"Al-Ansari","given":"Nadhir","non-dropping-particle":"","parse-names":false,"suffix":""},{"dropping-particle":"","family":"El‑Hendawy","given":"Salah","non-dropping-particle":"","parse-names":false,"suffix":""},{"dropping-particle":"","family":"Mattar","given":"Mohamed A","non-dropping-particle":"","parse-names":false,"suffix":""}],"container-title":"Scientific Reports","id":"ITEM-1","issue":"1","issued":{"date-parts":[["2024"]]},"title":"Predicting Rainfall Using Machine Learning, Deep Learning, and Time Series Models Across an Altitudinal Gradient in the North-Western Himalayas","type":"article-journal","volume":"14"},"uris":["http://www.mendeley.com/documents/?uuid=651b0671-7f7c-4a4e-9358-ccbfe3998f49"]}],"mendeley":{"formattedCitation":"(Wani dkk., 2024)","manualFormatting":"(Wani dkk., 2024)","plainTextFormattedCitation":"(Wani dkk., 2024)","previouslyFormattedCitation":"(Wani &lt;i&gt;et al.&lt;/i&gt;, 2024)"},"properties":{"noteIndex":0},"schema":"https://github.com/citation-style-language/schema/raw/master/csl-citation.json"}</w:instrText>
      </w:r>
      <w:r>
        <w:rPr>
          <w:lang w:val="zh-CN"/>
        </w:rPr>
        <w:fldChar w:fldCharType="separate"/>
      </w:r>
      <w:r>
        <w:rPr>
          <w:lang w:val="zh-CN"/>
        </w:rPr>
        <w:t>(Wani dkk., 2024)</w:t>
      </w:r>
      <w:r>
        <w:rPr>
          <w:lang w:val="zh-CN"/>
        </w:rPr>
        <w:fldChar w:fldCharType="end"/>
      </w:r>
      <w:r>
        <w:rPr>
          <w:lang w:val="zh-CN"/>
        </w:rPr>
        <w:t xml:space="preserve">. Tantangannya adalah menemukan 1 kombinasi terbaik di antara jutaan kemungkinan, baik yang berupa angka maupun desimal, sembari tetap menjaga agar komputer tidak kelebihan beban kerja. Karena proses coba-coba ini memakan biaya dan waktu yang sangat besar, maka perlu metode pencarian yang terstruktur dan otomatis untuk menemukan konfigurasi paling efisien tanpa harus menebak-nebak secara manual </w:t>
      </w:r>
      <w:r>
        <w:rPr>
          <w:lang w:val="zh-CN"/>
        </w:rPr>
        <w:fldChar w:fldCharType="begin" w:fldLock="1"/>
      </w:r>
      <w:r>
        <w:rPr>
          <w:lang w:val="zh-CN"/>
        </w:rPr>
        <w:instrText xml:space="preserve">ADDIN CSL_CITATION {"citationItems":[{"id":"ITEM-1","itemData":{"DOI":"10.3389/fenvs.2024.1301343","abstract":"Climate change is a pressing global issue. Mathematical models and global climate models have traditionally been invaluable tools in understanding the Earth’s climate system, however there are several limitations. Researchers are increasingly integrating machine learning techniques into environmental science related to time-series data; however, its application in the context of climate predictions remains open. This study develops a baseline machine learning model based on an autoregressive recurrent neural network with a long short-term memory implementation to predict the climate. The data were retrieved from the ensemble-mean version of the ERA5 dataset. The model developed in this study could predict the general trends of the Earth when used to predict both the climate and weather. When predicting climate, the model could achieve reasonable accuracy for a long period, with the ability to predict seasonal patterns, which is a feature that other researchers could not achieve with the complex reanalysis data utilized in this study. This study demonstrates that machine learning models can be utilized in a climate forecasting approach as a viable alternative to mathematical models and can be utilized to supplement current work that is mostly successful in short-term predictions.","author":[{"dropping-particle":"","family":"Chin","given":"Seokhyun","non-dropping-particle":"","parse-names":false,"suffix":""},{"dropping-particle":"","family":"Lloyd","given":"Victoria","non-dropping-particle":"","parse-names":false,"suffix":""}],"container-title":"Frontiers in Environmental Science","id":"ITEM-1","issued":{"date-parts":[["2024"]]},"title":"Predicting Climate Change Using an Autoregressive Long Short-Term Memory Model","type":"article-journal","volume":"12"},"uris":["http://www.mendeley.com/documents/?uuid=f462adaa-dfe1-43a5-a4b7-504efdcfdd11"]}],"mendeley":{"formattedCitation":"(Chin dan Lloyd, 2024)","manualFormatting":"(Chin dan Lloyd, 2024)","plainTextFormattedCitation":"(Chin dan Lloyd, 2024)","previouslyFormattedCitation":"(Chin dan Lloyd, 2024)"},"properties":{"noteIndex":0},"schema":"https://github.com/citation-style-language/schema/raw/master/csl-citation.json"}</w:instrText>
      </w:r>
      <w:r>
        <w:rPr>
          <w:lang w:val="zh-CN"/>
        </w:rPr>
        <w:fldChar w:fldCharType="separate"/>
      </w:r>
      <w:r>
        <w:rPr>
          <w:lang w:val="zh-CN"/>
        </w:rPr>
        <w:t>(Chin dan Lloyd, 2024)</w:t>
      </w:r>
      <w:r>
        <w:rPr>
          <w:lang w:val="zh-CN"/>
        </w:rPr>
        <w:fldChar w:fldCharType="end"/>
      </w:r>
      <w:r>
        <w:rPr>
          <w:lang w:val="zh-CN"/>
        </w:rPr>
        <w:t>.</w:t>
      </w:r>
    </w:p>
    <w:p w14:paraId="1BFEF10F">
      <w:pPr>
        <w:pStyle w:val="44"/>
      </w:pPr>
      <w:r>
        <w:t xml:space="preserve">b) </w:t>
      </w:r>
      <w:r>
        <w:rPr>
          <w:i/>
        </w:rPr>
        <w:t>Multi-Fidelity Optimization</w:t>
      </w:r>
    </w:p>
    <w:p w14:paraId="1E729030">
      <w:pPr>
        <w:spacing w:after="0"/>
        <w:ind w:left="284" w:firstLine="709"/>
        <w:rPr>
          <w:lang w:val="zh-CN"/>
        </w:rPr>
      </w:pPr>
      <w:r>
        <w:rPr>
          <w:lang w:val="zh-CN"/>
        </w:rPr>
        <w:t xml:space="preserve">Dalam upaya mengefisienkan pelatihan model DL yang sangat boros sumber daya, teknik </w:t>
      </w:r>
      <w:r>
        <w:rPr>
          <w:i/>
          <w:iCs/>
          <w:lang w:val="zh-CN"/>
        </w:rPr>
        <w:t>multi-fidelity optimization</w:t>
      </w:r>
      <w:r>
        <w:rPr>
          <w:lang w:val="zh-CN"/>
        </w:rPr>
        <w:t xml:space="preserve"> bekerja dengan prinsip evaluasi bertingkat, di mana tidak semua uji coba harus dilakukan dengan tenaga penuh. Alih-alih langsung menjalankan pelatihan berat yang memakan waktu lama (</w:t>
      </w:r>
      <w:r>
        <w:rPr>
          <w:i/>
          <w:iCs/>
          <w:lang w:val="zh-CN"/>
        </w:rPr>
        <w:t>high fidelity</w:t>
      </w:r>
      <w:r>
        <w:rPr>
          <w:lang w:val="zh-CN"/>
        </w:rPr>
        <w:t>), metode ini melakukan seleksi awal menggunakan versi "hemat" atau ringkas (</w:t>
      </w:r>
      <w:r>
        <w:rPr>
          <w:i/>
          <w:iCs/>
          <w:lang w:val="zh-CN"/>
        </w:rPr>
        <w:t>low fidelity</w:t>
      </w:r>
      <w:r>
        <w:rPr>
          <w:lang w:val="zh-CN"/>
        </w:rPr>
        <w:t xml:space="preserve">), misalnya dengan mengurangi durasi belajar atau menggunakan sampel data yang lebih sedikit. Cara ini memungkinkan untuk membuang konfigurasi yang buruk dengan cepat dan hanya mengalokasikan daya komputasi besar untuk mematangkan kandidat yang terbukti potensial, sebuah strategi yang sangat krusial untuk menghemat waktu dan biaya dalam pemodelan iklim yang kompleks </w:t>
      </w:r>
      <w:r>
        <w:rPr>
          <w:lang w:val="zh-CN"/>
        </w:rPr>
        <w:fldChar w:fldCharType="begin" w:fldLock="1"/>
      </w:r>
      <w:r>
        <w:rPr>
          <w:lang w:val="zh-CN"/>
        </w:rPr>
        <w:instrText xml:space="preserve">ADDIN CSL_CITATION {"citationItems":[{"id":"ITEM-1","itemData":{"DOI":"10.1371/journal.pone.0144371","abstract":"The efficiency of a metaheuristic algorithm for global optimization is based on its ability to search and find the global optimum. However, a good search often requires to be balanced between exploration and exploitation of the search space. In this paper, a new metaheuristic algorithm called Ringed Seal Search (RSS) is introduced. It is inspired by the natural behavior of the seal pup. This algorithm mimics the seal pup movement behavior and its ability to search and choose the best lair to escape predators. The scenario starts once the seal mother gives birth to a new pup in a birthing lair that is constructed for this purpose. The seal pup strategy consists of searching and selecting the best lair by performing a random walk to find a new lair. Affected by the sensitive nature of seals against external noise emitted by predators, the random walk of the seal pup takes two different search states, normal state and urgent state. In the normal state, the pup performs an intensive search between closely adjacent lairs; this movement is modeled via a Brownian walk. In an urgent state, the pup leaves the proximity area and performs an extensive search to find a new lair from sparse targets; this movement is modeled via a Levy walk. The switch between these two states is realized by the random noise emitted by predators. The algorithm keeps switching between normal and urgent states until the global optimum is reached. Tests and validations were performed using fifteen benchmark test functions to compare the performance of RSS with other baseline algorithms. The results show that RSS is more efficient than Genetic Algorithm, Particles Swarm Optimization and Cuckoo Search in terms of convergence rate to the global optimum. The RSS shows an improvement in terms of balance between exploration (extensive) and exploitation (intensive) of the search space. The RSS can efficiently mimic seal pups behavior to find best lair and provide a new algorithm to be used in global optimization problems.","author":[{"dropping-particle":"","family":"Saadi","given":"Younes","non-dropping-particle":"","parse-names":false,"suffix":""},{"dropping-particle":"","family":"Yanto","given":"Iwan Tri Riyadi","non-dropping-particle":"","parse-names":false,"suffix":""},{"dropping-particle":"","family":"Herawan","given":"Tutut","non-dropping-particle":"","parse-names":false,"suffix":""},{"dropping-particle":"","family":"Balakrishnan","given":"Vimala","non-dropping-particle":"","parse-names":false,"suffix":""},{"dropping-particle":"","family":"Chiroma","given":"Haruna","non-dropping-particle":"","parse-names":false,"suffix":""},{"dropping-particle":"","family":"Risnumawan","given":"Anhar","non-dropping-particle":"","parse-names":false,"suffix":""}],"container-title":"Plos One","id":"ITEM-1","issue":"1","issued":{"date-parts":[["2016"]]},"page":"e0144371","title":"Ringed Seal Search for Global Optimization via a Sensitive Search Model","type":"article-journal","volume":"11"},"uris":["http://www.mendeley.com/documents/?uuid=4ea32067-4657-4e5e-a27c-b4311066b39a"]}],"mendeley":{"formattedCitation":"(Saadi dkk., 2016)","manualFormatting":"(Saadi dkk., 2016)","plainTextFormattedCitation":"(Saadi dkk., 2016)","previouslyFormattedCitation":"(Saadi &lt;i&gt;et al.&lt;/i&gt;, 2016)"},"properties":{"noteIndex":0},"schema":"https://github.com/citation-style-language/schema/raw/master/csl-citation.json"}</w:instrText>
      </w:r>
      <w:r>
        <w:rPr>
          <w:lang w:val="zh-CN"/>
        </w:rPr>
        <w:fldChar w:fldCharType="separate"/>
      </w:r>
      <w:r>
        <w:rPr>
          <w:lang w:val="zh-CN"/>
        </w:rPr>
        <w:t>(Saadi dkk., 2016)</w:t>
      </w:r>
      <w:r>
        <w:rPr>
          <w:lang w:val="zh-CN"/>
        </w:rPr>
        <w:fldChar w:fldCharType="end"/>
      </w:r>
      <w:r>
        <w:rPr>
          <w:lang w:val="zh-CN"/>
        </w:rPr>
        <w:t>.</w:t>
      </w:r>
    </w:p>
    <w:p w14:paraId="2C123CB5">
      <w:pPr>
        <w:pStyle w:val="44"/>
      </w:pPr>
      <w:r>
        <w:t xml:space="preserve">c) </w:t>
      </w:r>
      <w:r>
        <w:rPr>
          <w:i/>
        </w:rPr>
        <w:t>Asynchronous Successive Halving Algorithm</w:t>
      </w:r>
      <w:r>
        <w:t xml:space="preserve"> (ASHA)</w:t>
      </w:r>
    </w:p>
    <w:p w14:paraId="52AFB93B">
      <w:pPr>
        <w:spacing w:after="0"/>
        <w:ind w:left="284" w:firstLine="720"/>
        <w:rPr>
          <w:lang w:val="zh-CN"/>
        </w:rPr>
      </w:pPr>
      <w:r>
        <w:rPr>
          <w:i/>
          <w:iCs/>
          <w:lang w:val="zh-CN"/>
        </w:rPr>
        <w:t>Asynchronous Successive Halving Algorithm</w:t>
      </w:r>
      <w:r>
        <w:rPr>
          <w:lang w:val="zh-CN"/>
        </w:rPr>
        <w:t xml:space="preserve"> (ASHA) merupakan strategi efisiensi tinggi untuk menemukan </w:t>
      </w:r>
      <w:r>
        <w:rPr>
          <w:i/>
          <w:iCs/>
          <w:lang w:val="zh-CN"/>
        </w:rPr>
        <w:t>hyperparameter</w:t>
      </w:r>
      <w:r>
        <w:rPr>
          <w:lang w:val="zh-CN"/>
        </w:rPr>
        <w:t xml:space="preserve"> terbaik pada model DL yang kompleks seperti </w:t>
      </w:r>
      <w:r>
        <w:rPr>
          <w:i/>
          <w:lang w:val="zh-CN"/>
        </w:rPr>
        <w:t>Transformer</w:t>
      </w:r>
      <w:r>
        <w:rPr>
          <w:lang w:val="zh-CN"/>
        </w:rPr>
        <w:t>, dengan tujuan menghemat waktu dan biaya komputasi melalui eliminasi kandidat yang buruk secepat mungkin. Sistem ini bekerja menggunakan mekanisme seleksi bertingkat atau "rung"; pada tahap awal, semua kandidat konfigurasi diuji dengan sumber daya minim, dan kandidat yang performanya rendah langsung dihentikan (</w:t>
      </w:r>
      <w:r>
        <w:rPr>
          <w:i/>
          <w:iCs/>
          <w:lang w:val="zh-CN"/>
        </w:rPr>
        <w:t>early stopping</w:t>
      </w:r>
      <w:r>
        <w:rPr>
          <w:lang w:val="zh-CN"/>
        </w:rPr>
        <w:t xml:space="preserve">), sementara hanya sebagian kecil kandidat terbaik yang dipromosikan ke tahap selanjutnya untuk dilatih lebih lama dengan sumber daya lebih besar </w:t>
      </w:r>
      <w:r>
        <w:rPr>
          <w:lang w:val="zh-CN"/>
        </w:rPr>
        <w:fldChar w:fldCharType="begin" w:fldLock="1"/>
      </w:r>
      <w:r>
        <w:rPr>
          <w:lang w:val="zh-CN"/>
        </w:rPr>
        <w:instrText xml:space="preserve">ADDIN CSL_CITATION {"citationItems":[{"id":"ITEM-1","itemData":{"DOI":"10.48550/arxiv.2106.12639","abstract":"Hyperparameter optimization (HPO) is increasingly used to automatically tune the predictive performance (e.g., accuracy) of machine learning models. However, in a plethora of real-world applications, accuracy is only one of the multiple -often conflicting -performance criteria, necessitating the adoption of a multi-objective (MO) perspective. While the literature on MO optimization is rich, few prior studies have focused on HPO. In this paper, we propose algorithms that extend asynchronous successive halving (ASHA) to the MO setting. Considering multiple evaluation metrics, we assess the performance of these methods on three real world tasks: (i) Neural architecture search, (ii) algorithmic fairness and (iii) language model optimization. Our empirical analysis shows that MO ASHA enables to perform MO HPO at scale. Further, we observe that that taking the entire Pareto front into account for candidate selection consistently outperforms multi-fidelity HPO based on MO scalarization in terms of wall-clock time. Our algorithms (to be open-sourced) establish new baselines for future research in the area.","author":[{"dropping-particle":"","family":"Schmucker","given":"Robin","non-dropping-particle":"","parse-names":false,"suffix":""},{"dropping-particle":"","family":"Donini","given":"Michele","non-dropping-particle":"","parse-names":false,"suffix":""},{"dropping-particle":"","family":"Zafar","given":"Muhammad Bilal","non-dropping-particle":"","parse-names":false,"suffix":""},{"dropping-particle":"","family":"Salinas","given":"David","non-dropping-particle":"","parse-names":false,"suffix":""},{"dropping-particle":"","family":"Archambeau","given":"Cédric","non-dropping-particle":"","parse-names":false,"suffix":""}],"id":"ITEM-1","issued":{"date-parts":[["2021"]]},"title":"Multi-Objective Asynchronous Successive Halving","type":"article-journal"},"uris":["http://www.mendeley.com/documents/?uuid=554a5139-34ca-4131-8afc-2e9c0e194104"]}],"mendeley":{"formattedCitation":"(Schmucker dkk., 2021)","manualFormatting":"(Schmucker dkk., 2021)","plainTextFormattedCitation":"(Schmucker dkk., 2021)","previouslyFormattedCitation":"(Schmucker &lt;i&gt;et al.&lt;/i&gt;, 2021)"},"properties":{"noteIndex":0},"schema":"https://github.com/citation-style-language/schema/raw/master/csl-citation.json"}</w:instrText>
      </w:r>
      <w:r>
        <w:rPr>
          <w:lang w:val="zh-CN"/>
        </w:rPr>
        <w:fldChar w:fldCharType="separate"/>
      </w:r>
      <w:r>
        <w:rPr>
          <w:lang w:val="zh-CN"/>
        </w:rPr>
        <w:t>(Schmucker dkk., 2021)</w:t>
      </w:r>
      <w:r>
        <w:rPr>
          <w:lang w:val="zh-CN"/>
        </w:rPr>
        <w:fldChar w:fldCharType="end"/>
      </w:r>
      <w:r>
        <w:rPr>
          <w:lang w:val="zh-CN"/>
        </w:rPr>
        <w:t xml:space="preserve">. </w:t>
      </w:r>
    </w:p>
    <w:p w14:paraId="3A61DF3B">
      <w:pPr>
        <w:pStyle w:val="44"/>
      </w:pPr>
      <w:r>
        <w:t xml:space="preserve">d) </w:t>
      </w:r>
      <w:r>
        <w:rPr>
          <w:i/>
        </w:rPr>
        <w:t>Bayesian Optimization</w:t>
      </w:r>
    </w:p>
    <w:p w14:paraId="57BDA942">
      <w:pPr>
        <w:spacing w:after="0"/>
        <w:ind w:left="284" w:firstLine="709"/>
        <w:rPr>
          <w:lang w:val="zh-CN"/>
        </w:rPr>
      </w:pPr>
      <w:r>
        <w:rPr>
          <w:i/>
          <w:iCs/>
          <w:lang w:val="zh-CN"/>
        </w:rPr>
        <w:t>Bayesian Optimization</w:t>
      </w:r>
      <w:r>
        <w:rPr>
          <w:lang w:val="zh-CN"/>
        </w:rPr>
        <w:t xml:space="preserve"> (BO) merupakan pendekatan yang efektif untuk </w:t>
      </w:r>
      <w:r>
        <w:rPr>
          <w:i/>
          <w:lang w:val="zh-CN"/>
        </w:rPr>
        <w:t>hyperparameter optimization</w:t>
      </w:r>
      <w:r>
        <w:rPr>
          <w:lang w:val="zh-CN"/>
        </w:rPr>
        <w:t xml:space="preserve"> pada model pembelajaran mesin dengan biaya evaluasi yang mahal, seperti </w:t>
      </w:r>
      <w:r>
        <w:rPr>
          <w:i/>
          <w:lang w:val="zh-CN"/>
        </w:rPr>
        <w:t>Transformer</w:t>
      </w:r>
      <w:r>
        <w:rPr>
          <w:lang w:val="zh-CN"/>
        </w:rPr>
        <w:t xml:space="preserve"> pada peramalan </w:t>
      </w:r>
      <w:r>
        <w:rPr>
          <w:i/>
          <w:lang w:val="zh-CN"/>
        </w:rPr>
        <w:t>time series</w:t>
      </w:r>
      <w:r>
        <w:rPr>
          <w:lang w:val="zh-CN"/>
        </w:rPr>
        <w:t xml:space="preserve"> dan iklim. Prinsip utama BO adalah membangun model probabilistik yang mendekati fungsi objektif sebenarnya, sehingga proses pencarian tidak perlu mengevaluasi semua kombinasi </w:t>
      </w:r>
      <w:r>
        <w:rPr>
          <w:i/>
          <w:lang w:val="zh-CN"/>
        </w:rPr>
        <w:t>hyperparameter</w:t>
      </w:r>
      <w:r>
        <w:rPr>
          <w:lang w:val="zh-CN"/>
        </w:rPr>
        <w:t xml:space="preserve"> secara langsung. Model statistic yang paling umum digunakan dalam BO adalah </w:t>
      </w:r>
      <w:r>
        <w:rPr>
          <w:i/>
          <w:lang w:val="zh-CN"/>
        </w:rPr>
        <w:t>Gaussian Process</w:t>
      </w:r>
      <w:r>
        <w:rPr>
          <w:lang w:val="zh-CN"/>
        </w:rPr>
        <w:t xml:space="preserve">. Keunggulan utama BO terletak pada kemampuannya mengelola ketidakpastian dan menyeimbangkan eksplorasi–eksploitasi </w:t>
      </w:r>
      <w:r>
        <w:rPr>
          <w:lang w:val="zh-CN"/>
        </w:rPr>
        <w:fldChar w:fldCharType="begin" w:fldLock="1"/>
      </w:r>
      <w:r>
        <w:rPr>
          <w:lang w:val="zh-CN"/>
        </w:rPr>
        <w:instrText xml:space="preserve">ADDIN CSL_CITATION {"citationItems":[{"id":"ITEM-1","itemData":{"DOI":"10.31891/csit-2025-1-16","author":[{"dropping-particle":"","family":"Zlobin","given":"Mykola","non-dropping-particle":"","parse-names":false,"suffix":""},{"dropping-particle":"","family":"Bazylevych","given":"Volodymyr","non-dropping-particle":"","parse-names":false,"suffix":""}],"container-title":"Computer Systems and Information Technologies","id":"ITEM-1","issue":"1","issued":{"date-parts":[["2025"]]},"page":"141-146","title":"Bayesian Optimization for Tuning Hyperparametrs of Machine Learning Models: A Performance Analysis in Xgboost","type":"article-journal"},"uris":["http://www.mendeley.com/documents/?uuid=f60eccd1-a050-4feb-a3ff-df6a5457a542"]}],"mendeley":{"formattedCitation":"(Zlobin dan Bazylevych, 2025)","manualFormatting":"(Zlobin dan Bazylevych, 2025)","plainTextFormattedCitation":"(Zlobin dan Bazylevych, 2025)","previouslyFormattedCitation":"(Zlobin dan Bazylevych, 2025)"},"properties":{"noteIndex":0},"schema":"https://github.com/citation-style-language/schema/raw/master/csl-citation.json"}</w:instrText>
      </w:r>
      <w:r>
        <w:rPr>
          <w:lang w:val="zh-CN"/>
        </w:rPr>
        <w:fldChar w:fldCharType="separate"/>
      </w:r>
      <w:r>
        <w:rPr>
          <w:lang w:val="zh-CN"/>
        </w:rPr>
        <w:t>(Zlobin dan Bazylevych, 2025)</w:t>
      </w:r>
      <w:r>
        <w:rPr>
          <w:lang w:val="zh-CN"/>
        </w:rPr>
        <w:fldChar w:fldCharType="end"/>
      </w:r>
      <w:r>
        <w:rPr>
          <w:lang w:val="zh-CN"/>
        </w:rPr>
        <w:t>.</w:t>
      </w:r>
    </w:p>
    <w:p w14:paraId="2213261D">
      <w:pPr>
        <w:pStyle w:val="44"/>
      </w:pPr>
      <w:r>
        <w:t xml:space="preserve">e) </w:t>
      </w:r>
      <w:r>
        <w:rPr>
          <w:i/>
        </w:rPr>
        <w:t>Particle Swarm Optimization</w:t>
      </w:r>
    </w:p>
    <w:p w14:paraId="53A9F7E8">
      <w:pPr>
        <w:ind w:left="284" w:firstLine="436"/>
        <w:rPr>
          <w:lang w:val="zh-CN"/>
        </w:rPr>
      </w:pPr>
      <w:r>
        <w:rPr>
          <w:i/>
          <w:lang w:val="zh-CN"/>
        </w:rPr>
        <w:t xml:space="preserve">Particle Swarm Optimization </w:t>
      </w:r>
      <w:r>
        <w:rPr>
          <w:lang w:val="zh-CN"/>
        </w:rPr>
        <w:t xml:space="preserve">(PSO) adalah algoritma metaheuristik berbasis populasi yang terinspirasi oleh </w:t>
      </w:r>
      <w:r>
        <w:rPr>
          <w:bCs/>
          <w:lang w:val="zh-CN"/>
        </w:rPr>
        <w:t>perilaku kolektif sistem alami</w:t>
      </w:r>
      <w:r>
        <w:rPr>
          <w:lang w:val="zh-CN"/>
        </w:rPr>
        <w:t xml:space="preserve">, seperti kawanan burung atau gerombolan ikan. Dalam PSO, setiap kandidat solusi direpresentasikan sebagai sebuah </w:t>
      </w:r>
      <w:r>
        <w:rPr>
          <w:bCs/>
          <w:lang w:val="zh-CN"/>
        </w:rPr>
        <w:t>partikel</w:t>
      </w:r>
      <w:r>
        <w:rPr>
          <w:lang w:val="zh-CN"/>
        </w:rPr>
        <w:t xml:space="preserve"> yang bergerak di dalam ruang pencarian berdasarkan pengalaman individu dan informasi kolektif dari populasi. Kekuatan utama PSO terletak pada kesederhanaan mekanisme dan konvergensi yang relatif cepat, menjadikannya populer dalam berbagai permasalahan optimasi. Namun, PSO memiliki keterbatasan, terutama sensitivitas terhadap pengaturan parameter seperti </w:t>
      </w:r>
      <w:r>
        <w:rPr>
          <w:i/>
          <w:lang w:val="zh-CN"/>
        </w:rPr>
        <w:t>inertia weight</w:t>
      </w:r>
      <w:r>
        <w:rPr>
          <w:lang w:val="zh-CN"/>
        </w:rPr>
        <w:t xml:space="preserve"> dan konstanta akselerasi. Pengaturan yang kurang tepat dapat menyebabkan </w:t>
      </w:r>
      <w:r>
        <w:rPr>
          <w:i/>
          <w:iCs/>
          <w:lang w:val="zh-CN"/>
        </w:rPr>
        <w:t>premature convergence</w:t>
      </w:r>
      <w:r>
        <w:rPr>
          <w:lang w:val="zh-CN"/>
        </w:rPr>
        <w:t xml:space="preserve"> di sekitar solusi optimum, khususnya pada ruang pencarian tinggi dimensi </w:t>
      </w:r>
      <w:r>
        <w:rPr>
          <w:lang w:val="zh-CN"/>
        </w:rPr>
        <w:fldChar w:fldCharType="begin" w:fldLock="1"/>
      </w:r>
      <w:r>
        <w:rPr>
          <w:lang w:val="zh-CN"/>
        </w:rPr>
        <w:instrText xml:space="preserve">ADDIN CSL_CITATION {"citationItems":[{"id":"ITEM-1","itemData":{"DOI":"10.1155/2016/6519678","abstract":"This work proposes an enhanced particle swarm optimization scheme that improves upon the performance of the standard particle swarm optimization algorithm. The proposed algorithm is based on chaos search to solve the problems of stagnation, which is the problem of being trapped in a local optimum and with the risk of premature convergence. Type 1 constriction is incorporated to help strengthen the stability and quality of convergence, and adaptive learning coefficients are utilized to intensify the exploitation and exploration search characteristics of the algorithm. Several well known benchmark functions are operated to verify the effectiveness of the proposed method. The test performance of the proposed method is compared with those of other popular population-based algorithms in the literature. Simulation results clearly demonstrate that the proposed method exhibits faster convergence, escapes local minima, and avoids premature convergence and stagnation in a high-dimensional problem space. The validity of the proposed PSO algorithm is demonstrated using a fuzzy logic-based maximum power point tracking control model for a standalone solar photovoltaic system.","author":[{"dropping-particle":"","family":"Hong","given":"Ying-Yi","non-dropping-particle":"","parse-names":false,"suffix":""},{"dropping-particle":"","family":"Beltran","given":"Angelo A","non-dropping-particle":"","parse-names":false,"suffix":""},{"dropping-particle":"","family":"Paglinawan","given":"Arnold C","non-dropping-particle":"","parse-names":false,"suffix":""}],"container-title":"Mathematical Problems in Engineering","id":"ITEM-1","issued":{"date-parts":[["2016"]]},"page":"1-19","title":"A Chaos-Enhanced Particle Swarm Optimization With Adaptive Parameters and Its Application in Maximum Power Point Tracking","type":"article-journal","volume":"2016"},"uris":["http://www.mendeley.com/documents/?uuid=479dd56e-fa92-4053-823c-b0476527a1f6"]}],"mendeley":{"formattedCitation":"(Hong dkk., 2016)","manualFormatting":"(Hong, Beltran dan Paglinawan, 2016)","plainTextFormattedCitation":"(Hong dkk., 2016)","previouslyFormattedCitation":"(Hong, Beltran dan Paglinawan, 2016)"},"properties":{"noteIndex":0},"schema":"https://github.com/citation-style-language/schema/raw/master/csl-citation.json"}</w:instrText>
      </w:r>
      <w:r>
        <w:rPr>
          <w:lang w:val="zh-CN"/>
        </w:rPr>
        <w:fldChar w:fldCharType="separate"/>
      </w:r>
      <w:r>
        <w:rPr>
          <w:lang w:val="zh-CN"/>
        </w:rPr>
        <w:t>(Hong, Beltran dan Paglinawan, 2016)</w:t>
      </w:r>
      <w:r>
        <w:rPr>
          <w:lang w:val="zh-CN"/>
        </w:rPr>
        <w:fldChar w:fldCharType="end"/>
      </w:r>
      <w:r>
        <w:rPr>
          <w:lang w:val="zh-CN"/>
        </w:rPr>
        <w:t>.</w:t>
      </w:r>
    </w:p>
    <w:p w14:paraId="3A986329">
      <w:pPr>
        <w:pStyle w:val="4"/>
      </w:pPr>
      <w:bookmarkStart w:id="32" w:name="_Toc236076729"/>
      <w:r>
        <w:t>2.2.</w:t>
      </w:r>
      <w:r>
        <w:rPr>
          <w:lang w:val="en-US"/>
        </w:rPr>
        <w:t>4</w:t>
      </w:r>
      <w:r>
        <w:t xml:space="preserve"> </w:t>
      </w:r>
      <w:r>
        <w:rPr>
          <w:i/>
          <w:iCs/>
        </w:rPr>
        <w:t>Multi-Site Learning</w:t>
      </w:r>
      <w:r>
        <w:t xml:space="preserve"> dan </w:t>
      </w:r>
      <w:r>
        <w:rPr>
          <w:i/>
          <w:iCs/>
        </w:rPr>
        <w:t>Site Embedding</w:t>
      </w:r>
      <w:bookmarkEnd w:id="32"/>
    </w:p>
    <w:p w14:paraId="0320FA9C">
      <w:pPr>
        <w:pStyle w:val="44"/>
      </w:pPr>
      <w:r>
        <w:t xml:space="preserve">a) Konsep </w:t>
      </w:r>
      <w:r>
        <w:rPr>
          <w:i/>
        </w:rPr>
        <w:t>Multi-Site Learning</w:t>
      </w:r>
    </w:p>
    <w:p w14:paraId="233AD691">
      <w:pPr>
        <w:spacing w:after="0"/>
        <w:ind w:left="284" w:firstLine="720"/>
        <w:rPr>
          <w:lang w:val="zh-CN"/>
        </w:rPr>
      </w:pPr>
      <w:r>
        <w:rPr>
          <w:i/>
          <w:lang w:val="zh-CN"/>
        </w:rPr>
        <w:t>Multi-site</w:t>
      </w:r>
      <w:r>
        <w:rPr>
          <w:lang w:val="zh-CN"/>
        </w:rPr>
        <w:t xml:space="preserve"> </w:t>
      </w:r>
      <w:r>
        <w:rPr>
          <w:i/>
          <w:lang w:val="zh-CN"/>
        </w:rPr>
        <w:t>learning</w:t>
      </w:r>
      <w:r>
        <w:rPr>
          <w:lang w:val="zh-CN"/>
        </w:rPr>
        <w:t xml:space="preserve"> adalah pendekatan pelatihan model yang menggunakan data dari beberapa lokasi sekaligus. Tujuannya adalah agar model mampu memahami perbedaan kondisi antar wilayah dan menghasilkan prediksi yang lebih andal ketika diterapkan di lokasi baru. Dalam peramalan curah hujan, pendekatan ini penting karena karakter pola hujan sangat bervariasi antar daerah akibat pengaruh faktor lokal dan regional. Berbagai penelitian menunjukkan bahwa model yang dilatih dengan data dari banyak lokasi umumnya memiliki kesalahan prediksi yang lebih rendah dibandingkan model </w:t>
      </w:r>
      <w:r>
        <w:rPr>
          <w:i/>
          <w:lang w:val="zh-CN"/>
        </w:rPr>
        <w:t>single-site</w:t>
      </w:r>
      <w:r>
        <w:rPr>
          <w:lang w:val="zh-CN"/>
        </w:rPr>
        <w:t xml:space="preserve">, karena mampu mempelajari variasi spasial dan dinamika iklim yang lebih beragam. Ketimpangan jumlah data antar lokasi juga berpotensi membuat lokasi dengan data lebih banyak mendominasi proses pelatihan, sehingga performa di lokasi dengan data terbatas menurun. Oleh karena itu, </w:t>
      </w:r>
      <w:r>
        <w:rPr>
          <w:i/>
          <w:lang w:val="zh-CN"/>
        </w:rPr>
        <w:t>multi-site</w:t>
      </w:r>
      <w:r>
        <w:rPr>
          <w:lang w:val="zh-CN"/>
        </w:rPr>
        <w:t xml:space="preserve"> </w:t>
      </w:r>
      <w:r>
        <w:rPr>
          <w:i/>
          <w:lang w:val="zh-CN"/>
        </w:rPr>
        <w:t>learning</w:t>
      </w:r>
      <w:r>
        <w:rPr>
          <w:lang w:val="zh-CN"/>
        </w:rPr>
        <w:t xml:space="preserve"> perlu dilengkapi dengan mekanisme yang mampu mengenali dan menyesuaikan perbedaan karakteristik tiap lokasi secara eksplisit, atau bersifat </w:t>
      </w:r>
      <w:r>
        <w:rPr>
          <w:i/>
          <w:iCs/>
          <w:lang w:val="zh-CN"/>
        </w:rPr>
        <w:t>location-aware</w:t>
      </w:r>
      <w:r>
        <w:rPr>
          <w:lang w:val="zh-CN"/>
        </w:rPr>
        <w:t xml:space="preserve"> </w:t>
      </w:r>
      <w:r>
        <w:rPr>
          <w:lang w:val="zh-CN"/>
        </w:rPr>
        <w:fldChar w:fldCharType="begin" w:fldLock="1"/>
      </w:r>
      <w:r>
        <w:rPr>
          <w:lang w:val="zh-CN"/>
        </w:rPr>
        <w:instrText xml:space="preserve">ADDIN CSL_CITATION {"citationItems":[{"id":"ITEM-1","itemData":{"DOI":"10.5194/hess-23-5089-2019","abstract":"Abstract. Regional rainfall–runoff modeling is an old but still mostly outstanding problem in the hydrological sciences. The problem currently is that traditional hydrological models degrade significantly in performance when calibrated for multiple basins together instead of for a single basin alone. In this paper, we propose a novel, data-driven approach using Long Short-Term Memory networks (LSTMs) and demonstrate that under a “big data” paradigm, this is not necessarily the case. By training a single LSTM model on 531 basins from the CAMELS dataset using meteorological time series data and static catchment attributes, we were able to significantly improve performance compared to a set of several different hydrological benchmark models. Our proposed approach not only significantly outperforms hydrological models that were calibrated regionally, but also achieves better performance than hydrological models that were calibrated for each basin individually. Furthermore, we propose an adaption to the standard LSTM architecture, which we call an Entity-Aware-LSTM (EA-LSTM), that allows for learning catchment similarities as a feature layer in a deep learning model. We show that these learned catchment similarities correspond well to what we would expect from prior hydrological understanding. ","author":[{"dropping-particle":"","family":"Kratzert","given":"Frederik","non-dropping-particle":"","parse-names":false,"suffix":""},{"dropping-particle":"","family":"Klotz","given":"Daniel","non-dropping-particle":"","parse-names":false,"suffix":""},{"dropping-particle":"","family":"Shalev","given":"Guy","non-dropping-particle":"","parse-names":false,"suffix":""},{"dropping-particle":"","family":"Klambauer","given":"Günter","non-dropping-particle":"","parse-names":false,"suffix":""},{"dropping-particle":"","family":"Hochreiter","given":"Sepp","non-dropping-particle":"","parse-names":false,"suffix":""},{"dropping-particle":"","family":"Nearing","given":"Grey","non-dropping-particle":"","parse-names":false,"suffix":""}],"container-title":"Hydrology and Earth System Sciences","id":"ITEM-1","issue":"12","issued":{"date-parts":[["2019"]]},"page":"5089-5110","title":"Towards Learning Universal, Regional, and Local Hydrological Behaviors via Machine Learning Applied to Large-Sample Datasets","type":"article-journal","volume":"23"},"uris":["http://www.mendeley.com/documents/?uuid=f42354f6-a362-4695-999c-fb66f1434d88"]}],"mendeley":{"formattedCitation":"(Kratzert dkk., 2019)","manualFormatting":"(Kratzert dkk., 2019)","plainTextFormattedCitation":"(Kratzert dkk., 2019)","previouslyFormattedCitation":"(Kratzert &lt;i&gt;et al.&lt;/i&gt;, 2019)"},"properties":{"noteIndex":0},"schema":"https://github.com/citation-style-language/schema/raw/master/csl-citation.json"}</w:instrText>
      </w:r>
      <w:r>
        <w:rPr>
          <w:lang w:val="zh-CN"/>
        </w:rPr>
        <w:fldChar w:fldCharType="separate"/>
      </w:r>
      <w:r>
        <w:rPr>
          <w:lang w:val="zh-CN"/>
        </w:rPr>
        <w:t>(Kratzert dkk., 2019)</w:t>
      </w:r>
      <w:r>
        <w:rPr>
          <w:lang w:val="zh-CN"/>
        </w:rPr>
        <w:fldChar w:fldCharType="end"/>
      </w:r>
      <w:r>
        <w:rPr>
          <w:lang w:val="zh-CN"/>
        </w:rPr>
        <w:t xml:space="preserve">. </w:t>
      </w:r>
    </w:p>
    <w:p w14:paraId="23462C61">
      <w:pPr>
        <w:pStyle w:val="44"/>
      </w:pPr>
      <w:r>
        <w:t xml:space="preserve">b) </w:t>
      </w:r>
      <w:r>
        <w:rPr>
          <w:i/>
        </w:rPr>
        <w:t>Site Embedding</w:t>
      </w:r>
      <w:r>
        <w:t xml:space="preserve"> dan </w:t>
      </w:r>
      <w:r>
        <w:rPr>
          <w:i/>
        </w:rPr>
        <w:t>Location-Aware Learning</w:t>
      </w:r>
    </w:p>
    <w:p w14:paraId="56215C74">
      <w:pPr>
        <w:ind w:left="284" w:firstLine="720"/>
        <w:rPr>
          <w:lang w:val="en-US"/>
        </w:rPr>
      </w:pPr>
      <w:r>
        <w:rPr>
          <w:i/>
        </w:rPr>
        <w:t>Site embedding</w:t>
      </w:r>
      <w:r>
        <w:t xml:space="preserve"> merupakan metode untuk merepresentasikan identitas lokasi ke dalam vektor berdimensi kecil (umumnya 8–16 dimensi) sehingga informasi spasial dapat dimasukkan ke dalam model tanpa meningkatkan kompleksitas secara signifikan. Pendekatan ini memungkinkan model membedakan karakteristik tiap lokasi sekaligus mempelajari pola umum yang dapat dibagikan antar lokasi, sehingga sesuai untuk pembelajaran </w:t>
      </w:r>
      <w:r>
        <w:rPr>
          <w:i/>
        </w:rPr>
        <w:t>multi-site</w:t>
      </w:r>
      <w:r>
        <w:t xml:space="preserve"> </w:t>
      </w:r>
      <w:r>
        <w:rPr>
          <w:lang w:val="en-US"/>
        </w:rPr>
        <w:t xml:space="preserve">dan </w:t>
      </w:r>
      <w:r>
        <w:t xml:space="preserve">menghasilkan respons prediksi berbeda bergantung pada lokasi tanpa memerlukan model terpisah </w:t>
      </w:r>
      <w:r>
        <w:fldChar w:fldCharType="begin" w:fldLock="1"/>
      </w:r>
      <w:r>
        <w:instrText xml:space="preserve">ADDIN CSL_CITATION {"citationItems":[{"id":"ITEM-1","itemData":{"DOI":"10.2166/hydro.2025.095","author":[{"dropping-particle":"","family":"Nolte","given":"Annika","non-dropping-particle":"","parse-names":false,"suffix":""},{"dropping-particle":"","family":"Heudorfer","given":"Benedikt","non-dropping-particle":"","parse-names":false,"suffix":""},{"dropping-particle":"","family":"Bender","given":"Steffen","non-dropping-particle":"","parse-names":false,"suffix":""},{"dropping-particle":"","family":"Hartmann","given":"Jens","non-dropping-particle":"","parse-names":false,"suffix":""}],"container-title":"Journal of Hydroinformatics","id":"ITEM-1","issue":"10","issued":{"date-parts":[["2025"]]},"page":"1632-1651","title":"Multi-Site Deep Learning for Groundwater Level Prediction Across Global Datasets: Toward Scalable Applications Under Data Scarcity","type":"article-journal","volume":"27"},"uris":["http://www.mendeley.com/documents/?uuid=1e6cd24a-f659-49e1-b5e9-37d757c43309"]}],"mendeley":{"formattedCitation":"(Nolte dkk., 2025)","manualFormatting":"(Nolte dkk., 2025)","plainTextFormattedCitation":"(Nolte dkk., 2025)","previouslyFormattedCitation":"(Nolte &lt;i&gt;et al.&lt;/i&gt;, 2025)"},"properties":{"noteIndex":0},"schema":"https://github.com/citation-style-language/schema/raw/master/csl-citation.json"}</w:instrText>
      </w:r>
      <w:r>
        <w:fldChar w:fldCharType="separate"/>
      </w:r>
      <w:r>
        <w:t>(Nolte dkk., 2025)</w:t>
      </w:r>
      <w:r>
        <w:fldChar w:fldCharType="end"/>
      </w:r>
      <w:r>
        <w:rPr>
          <w:lang w:val="en-US"/>
        </w:rPr>
        <w:t>.</w:t>
      </w:r>
    </w:p>
    <w:p w14:paraId="58E4B876">
      <w:pPr>
        <w:pStyle w:val="4"/>
      </w:pPr>
      <w:bookmarkStart w:id="33" w:name="_Toc236076730"/>
      <w:r>
        <w:t>2.2.</w:t>
      </w:r>
      <w:r>
        <w:rPr>
          <w:lang w:val="en-US"/>
        </w:rPr>
        <w:t>5</w:t>
      </w:r>
      <w:r>
        <w:t xml:space="preserve"> </w:t>
      </w:r>
      <w:r>
        <w:rPr>
          <w:i/>
          <w:iCs/>
        </w:rPr>
        <w:t>Transfer Learning</w:t>
      </w:r>
      <w:bookmarkEnd w:id="33"/>
    </w:p>
    <w:p w14:paraId="59857D67">
      <w:pPr>
        <w:pStyle w:val="44"/>
      </w:pPr>
      <w:r>
        <w:t xml:space="preserve">a) Konsep </w:t>
      </w:r>
      <w:r>
        <w:rPr>
          <w:i/>
        </w:rPr>
        <w:t>Transfer Learning</w:t>
      </w:r>
    </w:p>
    <w:p w14:paraId="7128BFE4">
      <w:pPr>
        <w:spacing w:after="0"/>
        <w:ind w:left="284" w:firstLine="720"/>
        <w:rPr>
          <w:lang w:val="en-US"/>
        </w:rPr>
      </w:pPr>
      <w:r>
        <w:rPr>
          <w:i/>
        </w:rPr>
        <w:t xml:space="preserve">Transfer learning </w:t>
      </w:r>
      <w:r>
        <w:t>(TL) merupakan kerangka</w:t>
      </w:r>
      <w:r>
        <w:rPr>
          <w:lang w:val="en-US"/>
        </w:rPr>
        <w:t xml:space="preserve"> ML </w:t>
      </w:r>
      <w:r>
        <w:t xml:space="preserve">yang memungkinkan pemanfaatan pengetahuan yang diperoleh dari </w:t>
      </w:r>
      <w:r>
        <w:rPr>
          <w:i/>
          <w:iCs/>
        </w:rPr>
        <w:t>source domain</w:t>
      </w:r>
      <w:r>
        <w:t xml:space="preserve"> dengan ketersediaan data yang melimpah untuk meningkatkan kinerja model pada </w:t>
      </w:r>
      <w:r>
        <w:rPr>
          <w:i/>
          <w:iCs/>
        </w:rPr>
        <w:t>target domain</w:t>
      </w:r>
      <w:r>
        <w:t xml:space="preserve"> yang memiliki data terbatas.</w:t>
      </w:r>
      <w:r>
        <w:rPr>
          <w:lang w:val="en-US"/>
        </w:rPr>
        <w:t xml:space="preserve"> Konsep TL dijelaskan pada Gambar 2. 5.</w:t>
      </w:r>
    </w:p>
    <w:p w14:paraId="4356881C">
      <w:pPr>
        <w:keepNext/>
        <w:spacing w:after="0"/>
        <w:jc w:val="center"/>
      </w:pPr>
      <w:r>
        <w:drawing>
          <wp:inline distT="0" distB="0" distL="0" distR="0">
            <wp:extent cx="2776855" cy="3002280"/>
            <wp:effectExtent l="0" t="0" r="444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6382" cy="3066630"/>
                    </a:xfrm>
                    <a:prstGeom prst="rect">
                      <a:avLst/>
                    </a:prstGeom>
                  </pic:spPr>
                </pic:pic>
              </a:graphicData>
            </a:graphic>
          </wp:inline>
        </w:drawing>
      </w:r>
    </w:p>
    <w:p w14:paraId="69B084CB">
      <w:pPr>
        <w:pStyle w:val="11"/>
        <w:spacing w:after="0" w:line="276" w:lineRule="auto"/>
        <w:jc w:val="center"/>
        <w:rPr>
          <w:b/>
          <w:i w:val="0"/>
          <w:color w:val="auto"/>
          <w:sz w:val="24"/>
          <w:lang w:val="en-US"/>
        </w:rPr>
      </w:pPr>
      <w:bookmarkStart w:id="34" w:name="_Toc236077369"/>
      <w:r>
        <w:rPr>
          <w:b/>
          <w:i w:val="0"/>
          <w:color w:val="auto"/>
          <w:sz w:val="24"/>
        </w:rPr>
        <w:t>Gambar 2.</w:t>
      </w:r>
      <w:r>
        <w:rPr>
          <w:b/>
          <w:i w:val="0"/>
          <w:color w:val="auto"/>
          <w:sz w:val="24"/>
          <w:lang w:val="en-US"/>
        </w:rPr>
        <w:t xml:space="preserve">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5</w:t>
      </w:r>
      <w:r>
        <w:rPr>
          <w:b/>
          <w:i w:val="0"/>
          <w:color w:val="auto"/>
          <w:sz w:val="24"/>
        </w:rPr>
        <w:fldChar w:fldCharType="end"/>
      </w:r>
      <w:r>
        <w:rPr>
          <w:b/>
          <w:i w:val="0"/>
          <w:color w:val="auto"/>
          <w:sz w:val="24"/>
          <w:lang w:val="en-US"/>
        </w:rPr>
        <w:t xml:space="preserve"> Ilustrasi </w:t>
      </w:r>
      <w:r>
        <w:rPr>
          <w:b/>
          <w:color w:val="auto"/>
          <w:sz w:val="24"/>
          <w:lang w:val="en-US"/>
        </w:rPr>
        <w:t>Transfer Learning</w:t>
      </w:r>
      <w:bookmarkEnd w:id="34"/>
    </w:p>
    <w:p w14:paraId="33E34BCB">
      <w:pPr>
        <w:spacing w:after="0" w:line="276" w:lineRule="auto"/>
        <w:jc w:val="center"/>
        <w:rPr>
          <w:lang w:val="en-US"/>
        </w:rPr>
      </w:pPr>
      <w:r>
        <w:rPr>
          <w:lang w:val="en-US"/>
        </w:rPr>
        <w:t xml:space="preserve">Sumber: </w:t>
      </w:r>
      <w:r>
        <w:rPr>
          <w:lang w:val="en-US"/>
        </w:rPr>
        <w:fldChar w:fldCharType="begin" w:fldLock="1"/>
      </w:r>
      <w:r>
        <w:rPr>
          <w:lang w:val="en-US"/>
        </w:rPr>
        <w:instrText xml:space="preserve">ADDIN CSL_CITATION {"citationItems":[{"id":"ITEM-1","itemData":{"DOI":"10.32604/ee.2025.063165","author":[{"dropping-particle":"","family":"Zhu","given":"Qing","non-dropping-particle":"","parse-names":false,"suffix":""},{"dropping-particle":"","family":"Guo","given":"Denghui","non-dropping-particle":"","parse-names":false,"suffix":""},{"dropping-particle":"","family":"Ruan","given":"Rui","non-dropping-particle":"","parse-names":false,"suffix":""},{"dropping-particle":"","family":"Chai","given":"Zhidong","non-dropping-particle":"","parse-names":false,"suffix":""},{"dropping-particle":"","family":"Wang","given":"Chaoqun","non-dropping-particle":"","parse-names":false,"suffix":""},{"dropping-particle":"","family":"Guan","given":"Zhiwen","non-dropping-particle":"","parse-names":false,"suffix":""}],"container-title":"Energy Engineering","id":"ITEM-1","issued":{"date-parts":[["2025","7","24"]]},"page":"3133-3154","title":"The Emergency Control Method for Multi-Scenario Sub-Synchronous Oscillation in Wind Power Grid Integration Systems Based on Transfer Learning","type":"article-journal","volume":"122"},"uris":["http://www.mendeley.com/documents/?uuid=ee186a08-9cd5-472a-9670-61495facd13f"]}],"mendeley":{"formattedCitation":"(Zhu dkk., 2025)","manualFormatting":"(Zhu dkk., 2025)","plainTextFormattedCitation":"(Zhu dkk., 2025)","previouslyFormattedCitation":"(Zhu &lt;i&gt;et al.&lt;/i&gt;, 2025)"},"properties":{"noteIndex":0},"schema":"https://github.com/citation-style-language/schema/raw/master/csl-citation.json"}</w:instrText>
      </w:r>
      <w:r>
        <w:rPr>
          <w:lang w:val="en-US"/>
        </w:rPr>
        <w:fldChar w:fldCharType="separate"/>
      </w:r>
      <w:r>
        <w:rPr>
          <w:lang w:val="en-US"/>
        </w:rPr>
        <w:t>(Zhu dkk</w:t>
      </w:r>
      <w:r>
        <w:rPr>
          <w:i/>
          <w:lang w:val="en-US"/>
        </w:rPr>
        <w:t>.</w:t>
      </w:r>
      <w:r>
        <w:rPr>
          <w:lang w:val="en-US"/>
        </w:rPr>
        <w:t>, 2025)</w:t>
      </w:r>
      <w:r>
        <w:rPr>
          <w:lang w:val="en-US"/>
        </w:rPr>
        <w:fldChar w:fldCharType="end"/>
      </w:r>
    </w:p>
    <w:p w14:paraId="31DF81BD">
      <w:pPr>
        <w:spacing w:after="0" w:line="276" w:lineRule="auto"/>
        <w:jc w:val="center"/>
        <w:rPr>
          <w:lang w:val="en-US"/>
        </w:rPr>
      </w:pPr>
    </w:p>
    <w:p w14:paraId="66810514">
      <w:pPr>
        <w:spacing w:after="0"/>
        <w:ind w:left="284" w:firstLine="720"/>
        <w:rPr>
          <w:lang w:val="en-US"/>
        </w:rPr>
      </w:pPr>
      <w:r>
        <w:t xml:space="preserve">Pendekatan ini sangat relevan dalam peramalan iklim dan curah hujan, mengingat keterbatasan data observasi yang sering terjadi pada wilayah tertentu, baik akibat faktor geografis maupun keterbatasan infrastruktur pengamatan. Tujuan utama </w:t>
      </w:r>
      <w:r>
        <w:rPr>
          <w:lang w:val="en-US"/>
        </w:rPr>
        <w:t>TL</w:t>
      </w:r>
      <w:r>
        <w:t xml:space="preserve"> adalah meningkatkan performa prediksi pada domain target serta meningkatkan efisiensi data, sehingga kebutuhan akan pelatihan ulang secara menyeluruh dapat dikurangi. Dengan memanfaatkan representasi temporal dan dinamika atmosfer yang telah dipelajari sebelumnya, TL memungkinkan model untuk memperoleh </w:t>
      </w:r>
      <w:r>
        <w:rPr>
          <w:i/>
          <w:iCs/>
        </w:rPr>
        <w:t>knowledge</w:t>
      </w:r>
      <w:r>
        <w:t xml:space="preserve"> </w:t>
      </w:r>
      <w:r>
        <w:rPr>
          <w:lang w:val="en-US"/>
        </w:rPr>
        <w:t xml:space="preserve">terbaik </w:t>
      </w:r>
      <w:r>
        <w:t>yang berguna dalam konteks klimatologis yang serupa</w:t>
      </w:r>
      <w:r>
        <w:rPr>
          <w:lang w:val="en-US"/>
        </w:rPr>
        <w:t>. K</w:t>
      </w:r>
      <w:r>
        <w:rPr>
          <w:lang w:val="zh-CN"/>
        </w:rPr>
        <w:t xml:space="preserve">eberhasilan TL sangat bergantung pada pemilihan domain sumber yang memiliki keterkaitan fisik dan statistik yang memadai dengan domain target </w:t>
      </w:r>
      <w:r>
        <w:fldChar w:fldCharType="begin" w:fldLock="1"/>
      </w:r>
      <w:r>
        <w:instrText xml:space="preserve">ADDIN CSL_CITATION {"citationItems":[{"id":"ITEM-1","itemData":{"DOI":"10.47852/bonviewjcce42022817","author":[{"dropping-particle":"","family":"Pal","given":"Sankar K","non-dropping-particle":"","parse-names":false,"suffix":""},{"dropping-particle":"","family":"Dutta","given":"Debashree","non-dropping-particle":"","parse-names":false,"suffix":""}],"container-title":"Journal of Computational and Cognitive Engineering","id":"ITEM-1","issue":"4","issued":{"date-parts":[["2024"]]},"page":"324-347","title":"Transfer Learning in Weather Prediction: Why, How, and What Should","type":"article-journal","volume":"3"},"uris":["http://www.mendeley.com/documents/?uuid=0a9f887a-204d-4772-a456-bf6fc6466765"]}],"mendeley":{"formattedCitation":"(Pal dan Dutta, 2024)","manualFormatting":"(Pal dan Dutta, 2024)","plainTextFormattedCitation":"(Pal dan Dutta, 2024)","previouslyFormattedCitation":"(Pal dan Dutta, 2024)"},"properties":{"noteIndex":0},"schema":"https://github.com/citation-style-language/schema/raw/master/csl-citation.json"}</w:instrText>
      </w:r>
      <w:r>
        <w:fldChar w:fldCharType="separate"/>
      </w:r>
      <w:r>
        <w:t>(Pal dan Dutta, 2024)</w:t>
      </w:r>
      <w:r>
        <w:fldChar w:fldCharType="end"/>
      </w:r>
      <w:r>
        <w:rPr>
          <w:lang w:val="en-US"/>
        </w:rPr>
        <w:t>.</w:t>
      </w:r>
    </w:p>
    <w:p w14:paraId="7EACACCC">
      <w:pPr>
        <w:pStyle w:val="44"/>
      </w:pPr>
      <w:r>
        <w:t xml:space="preserve">b) </w:t>
      </w:r>
      <w:r>
        <w:rPr>
          <w:i/>
        </w:rPr>
        <w:t>Zero-Shot Learning</w:t>
      </w:r>
    </w:p>
    <w:p w14:paraId="416E1AD3">
      <w:pPr>
        <w:spacing w:after="0"/>
        <w:ind w:left="284" w:firstLine="720"/>
        <w:rPr>
          <w:lang w:val="zh-CN"/>
        </w:rPr>
      </w:pPr>
      <w:r>
        <w:rPr>
          <w:i/>
          <w:lang w:val="zh-CN"/>
        </w:rPr>
        <w:t>Zero-shot</w:t>
      </w:r>
      <w:r>
        <w:rPr>
          <w:lang w:val="zh-CN"/>
        </w:rPr>
        <w:t xml:space="preserve"> </w:t>
      </w:r>
      <w:r>
        <w:rPr>
          <w:i/>
          <w:lang w:val="zh-CN"/>
        </w:rPr>
        <w:t>learning</w:t>
      </w:r>
      <w:r>
        <w:rPr>
          <w:lang w:val="zh-CN"/>
        </w:rPr>
        <w:t xml:space="preserve"> merupakan bentuk khusus dari TL, di mana model yang dilatih pada domain sumber langsung diuji pada domain target tanpa penyesuaian parameter tambahan, sehingga sering digunakan sebagai </w:t>
      </w:r>
      <w:r>
        <w:rPr>
          <w:i/>
          <w:lang w:val="zh-CN"/>
        </w:rPr>
        <w:t>baseline</w:t>
      </w:r>
      <w:r>
        <w:rPr>
          <w:lang w:val="zh-CN"/>
        </w:rPr>
        <w:t xml:space="preserve"> untuk menilai tingkat keumuman representasi yang dipelajari model. Keunggulan utama pendekatan ini terletak pada efisiensinya karena memungkinkan evaluasi kemampuan generalisasi model tanpa biaya komputasi tambahan </w:t>
      </w:r>
      <w:r>
        <w:rPr>
          <w:lang w:val="zh-CN"/>
        </w:rPr>
        <w:fldChar w:fldCharType="begin" w:fldLock="1"/>
      </w:r>
      <w:r>
        <w:rPr>
          <w:lang w:val="zh-CN"/>
        </w:rPr>
        <w:instrText xml:space="preserve">ADDIN CSL_CITATION {"citationItems":[{"id":"ITEM-1","itemData":{"DOI":"10.47852/bonviewjcce42022817","author":[{"dropping-particle":"","family":"Pal","given":"Sankar K","non-dropping-particle":"","parse-names":false,"suffix":""},{"dropping-particle":"","family":"Dutta","given":"Debashree","non-dropping-particle":"","parse-names":false,"suffix":""}],"container-title":"Journal of Computational and Cognitive Engineering","id":"ITEM-1","issue":"4","issued":{"date-parts":[["2024"]]},"page":"324-347","title":"Transfer Learning in Weather Prediction: Why, How, and What Should","type":"article-journal","volume":"3"},"uris":["http://www.mendeley.com/documents/?uuid=0a9f887a-204d-4772-a456-bf6fc6466765"]}],"mendeley":{"formattedCitation":"(Pal dan Dutta, 2024)","manualFormatting":"(Pal dan Dutta, 2024)","plainTextFormattedCitation":"(Pal dan Dutta, 2024)","previouslyFormattedCitation":"(Pal dan Dutta, 2024)"},"properties":{"noteIndex":0},"schema":"https://github.com/citation-style-language/schema/raw/master/csl-citation.json"}</w:instrText>
      </w:r>
      <w:r>
        <w:rPr>
          <w:lang w:val="zh-CN"/>
        </w:rPr>
        <w:fldChar w:fldCharType="separate"/>
      </w:r>
      <w:r>
        <w:rPr>
          <w:lang w:val="zh-CN"/>
        </w:rPr>
        <w:t>(Pal dan Dutta, 2024)</w:t>
      </w:r>
      <w:r>
        <w:rPr>
          <w:lang w:val="zh-CN"/>
        </w:rPr>
        <w:fldChar w:fldCharType="end"/>
      </w:r>
      <w:r>
        <w:rPr>
          <w:lang w:val="zh-CN"/>
        </w:rPr>
        <w:t>.</w:t>
      </w:r>
    </w:p>
    <w:p w14:paraId="3807EF4A">
      <w:pPr>
        <w:pStyle w:val="44"/>
      </w:pPr>
      <w:r>
        <w:t xml:space="preserve">c) Strategi </w:t>
      </w:r>
      <w:r>
        <w:rPr>
          <w:i/>
        </w:rPr>
        <w:t>Fine-Tuning</w:t>
      </w:r>
    </w:p>
    <w:p w14:paraId="2373AD2C">
      <w:pPr>
        <w:spacing w:after="0"/>
        <w:ind w:left="284" w:firstLine="720"/>
        <w:rPr>
          <w:lang w:val="en-US"/>
        </w:rPr>
      </w:pPr>
      <w:r>
        <w:rPr>
          <w:i/>
          <w:lang w:val="zh-CN"/>
        </w:rPr>
        <w:t>Fine-tuning</w:t>
      </w:r>
      <w:r>
        <w:rPr>
          <w:lang w:val="zh-CN"/>
        </w:rPr>
        <w:t xml:space="preserve"> merupakan tahap adaptasi lanjutan dalam TL yang bertujuan menyesuaikan model terlatih agar lebih selaras dengan karakteristik domain target, dengan tetap menjaga pengetahuan awal yang telah dipelajari. Dua strategi yang umum digunakan adalah </w:t>
      </w:r>
      <w:r>
        <w:rPr>
          <w:i/>
          <w:lang w:val="zh-CN"/>
        </w:rPr>
        <w:t>head-only</w:t>
      </w:r>
      <w:r>
        <w:rPr>
          <w:lang w:val="zh-CN"/>
        </w:rPr>
        <w:t xml:space="preserve"> </w:t>
      </w:r>
      <w:r>
        <w:rPr>
          <w:i/>
          <w:lang w:val="zh-CN"/>
        </w:rPr>
        <w:t>fine-tuning</w:t>
      </w:r>
      <w:r>
        <w:rPr>
          <w:lang w:val="zh-CN"/>
        </w:rPr>
        <w:t xml:space="preserve"> dan </w:t>
      </w:r>
      <w:r>
        <w:rPr>
          <w:i/>
          <w:lang w:val="zh-CN"/>
        </w:rPr>
        <w:t>staged unfreezing</w:t>
      </w:r>
      <w:r>
        <w:rPr>
          <w:lang w:val="zh-CN"/>
        </w:rPr>
        <w:t xml:space="preserve">, di mana pada pendekatan </w:t>
      </w:r>
      <w:r>
        <w:rPr>
          <w:i/>
          <w:lang w:val="zh-CN"/>
        </w:rPr>
        <w:t>head-only</w:t>
      </w:r>
      <w:r>
        <w:rPr>
          <w:lang w:val="zh-CN"/>
        </w:rPr>
        <w:t xml:space="preserve"> hanya bagian prediction head yang dilatih sementara </w:t>
      </w:r>
      <w:r>
        <w:rPr>
          <w:i/>
          <w:lang w:val="zh-CN"/>
        </w:rPr>
        <w:t>encoder</w:t>
      </w:r>
      <w:r>
        <w:rPr>
          <w:lang w:val="zh-CN"/>
        </w:rPr>
        <w:t xml:space="preserve"> dibekukan untuk mempertahankan representasi temporal umum, namun tetap memberi ruang adaptasi lokal. Sebaliknya, </w:t>
      </w:r>
      <w:r>
        <w:rPr>
          <w:i/>
          <w:lang w:val="zh-CN"/>
        </w:rPr>
        <w:t>staged unfreezing</w:t>
      </w:r>
      <w:r>
        <w:rPr>
          <w:lang w:val="zh-CN"/>
        </w:rPr>
        <w:t xml:space="preserve"> membuka lapisan model secara bertahap sehingga memungkinkan penyesuaian yang lebih mendalam tanpa mengganggu stabilitas representasi global. Untuk mencegah </w:t>
      </w:r>
      <w:r>
        <w:rPr>
          <w:i/>
          <w:lang w:val="zh-CN"/>
        </w:rPr>
        <w:t>catastrophic forgetting</w:t>
      </w:r>
      <w:r>
        <w:t>,</w:t>
      </w:r>
      <w:r>
        <w:rPr>
          <w:lang w:val="zh-CN"/>
        </w:rPr>
        <w:t xml:space="preserve"> proses </w:t>
      </w:r>
      <w:r>
        <w:rPr>
          <w:i/>
          <w:lang w:val="zh-CN"/>
        </w:rPr>
        <w:t xml:space="preserve">fine-tuning </w:t>
      </w:r>
      <w:r>
        <w:rPr>
          <w:lang w:val="zh-CN"/>
        </w:rPr>
        <w:t xml:space="preserve">biasanya dilakukan dengan </w:t>
      </w:r>
      <w:r>
        <w:rPr>
          <w:i/>
          <w:lang w:val="zh-CN"/>
        </w:rPr>
        <w:t>learning</w:t>
      </w:r>
      <w:r>
        <w:rPr>
          <w:lang w:val="zh-CN"/>
        </w:rPr>
        <w:t xml:space="preserve"> rate yang lebih kecil dan jumlah epoch terbatas, terutama pada data iklim yang memiliki dinamika temporal kompleks dan rentan terhadap </w:t>
      </w:r>
      <w:r>
        <w:rPr>
          <w:i/>
          <w:lang w:val="zh-CN"/>
        </w:rPr>
        <w:t>overfitting</w:t>
      </w:r>
      <w:r>
        <w:rPr>
          <w:lang w:val="zh-CN"/>
        </w:rPr>
        <w:t xml:space="preserve"> jika adaptasi dilakukan terlalu agresif </w:t>
      </w:r>
      <w:r>
        <w:t>(</w:t>
      </w:r>
      <w:r>
        <w:rPr>
          <w:i/>
          <w:lang w:val="zh-CN"/>
        </w:rPr>
        <w:t xml:space="preserve">catastrophic forgetting: </w:t>
      </w:r>
      <w:r>
        <w:t>fenomena di mana kinerja model pada tugas yang dipelajari sebelumnya menurun drastis saat model tersebut dilatih pada tugas baru</w:t>
      </w:r>
      <w:r>
        <w:rPr>
          <w:lang w:val="en-US"/>
        </w:rPr>
        <w:t xml:space="preserve"> </w:t>
      </w:r>
      <w:r>
        <w:rPr>
          <w:lang w:val="en-US"/>
        </w:rPr>
        <w:fldChar w:fldCharType="begin" w:fldLock="1"/>
      </w:r>
      <w:r>
        <w:rPr>
          <w:lang w:val="en-US"/>
        </w:rPr>
        <w:instrText xml:space="preserve">ADDIN CSL_CITATION {"citationItems":[{"id":"ITEM-1","itemData":{"DOI":"10.48550/arxiv.1812.05159","abstract":"Inspired by the phenomenon of catastrophic forgetting, we investigate the learning dynamics of neural networks as they train on single classification tasks. Our goal is to understand whether a related phenomenon occurs when data does not undergo a clear distributional shift. We define a \"forgetting event\" to have occurred when an individual training example transitions from being classified correctly to incorrectly over the course of learning. Across several benchmark data sets, we find that: (i) certain examples are forgotten with high frequency, and some not at all; (ii) a data set's (un)forgettable examples generalize across neural architectures; and (iii) based on forgetting dynamics, a significant fraction of examples can be omitted from the training data set while still maintaining state-of-the-art generalization performance.","author":[{"dropping-particle":"","family":"Toneva","given":"Mariya","non-dropping-particle":"","parse-names":false,"suffix":""},{"dropping-particle":"","family":"Sordoni","given":"Alessandro","non-dropping-particle":"","parse-names":false,"suffix":""},{"dropping-particle":"des","family":"Combes","given":"Remi Tachet","non-dropping-particle":"","parse-names":false,"suffix":""},{"dropping-particle":"","family":"Trischler","given":"Adam","non-dropping-particle":"","parse-names":false,"suffix":""},{"dropping-particle":"","family":"Bengio","given":"Yoshua","non-dropping-particle":"","parse-names":false,"suffix":""},{"dropping-particle":"","family":"Gordon","given":"Geoffrey J","non-dropping-particle":"","parse-names":false,"suffix":""}],"id":"ITEM-1","issued":{"date-parts":[["2018"]]},"title":"An Empirical Study of Example Forgetting During Deep Neural Network Learning","type":"article-journal"},"uris":["http://www.mendeley.com/documents/?uuid=ae7ccad6-5b8f-4b06-83d3-41be7b6a0388"]}],"mendeley":{"formattedCitation":"(Toneva dkk., 2018)","manualFormatting":"(Toneva dkk., 2018)","plainTextFormattedCitation":"(Toneva dkk., 2018)","previouslyFormattedCitation":"(Toneva &lt;i&gt;et al.&lt;/i&gt;, 2018)"},"properties":{"noteIndex":0},"schema":"https://github.com/citation-style-language/schema/raw/master/csl-citation.json"}</w:instrText>
      </w:r>
      <w:r>
        <w:rPr>
          <w:lang w:val="en-US"/>
        </w:rPr>
        <w:fldChar w:fldCharType="separate"/>
      </w:r>
      <w:r>
        <w:rPr>
          <w:lang w:val="en-US"/>
        </w:rPr>
        <w:t>(Toneva dkk., 2018)</w:t>
      </w:r>
      <w:r>
        <w:rPr>
          <w:lang w:val="en-US"/>
        </w:rPr>
        <w:fldChar w:fldCharType="end"/>
      </w:r>
      <w:r>
        <w:rPr>
          <w:lang w:val="en-US"/>
        </w:rPr>
        <w:t>)</w:t>
      </w:r>
      <w:r>
        <w:rPr>
          <w:lang w:val="zh-CN"/>
        </w:rPr>
        <w:t xml:space="preserve"> </w:t>
      </w:r>
      <w:r>
        <w:rPr>
          <w:lang w:val="zh-CN"/>
        </w:rPr>
        <w:fldChar w:fldCharType="begin" w:fldLock="1"/>
      </w:r>
      <w:r>
        <w:rPr>
          <w:lang w:val="zh-CN"/>
        </w:rPr>
        <w:instrText xml:space="preserve">ADDIN CSL_CITATION {"citationItems":[{"id":"ITEM-1","itemData":{"DOI":"10.3389/fneur.2024.1303978","author":[{"dropping-particle":"","family":"Winger","given":"Trevor","non-dropping-particle":"","parse-names":false,"suffix":""},{"dropping-particle":"","family":"Chellamuthu","given":"Vidhya","non-dropping-particle":"","parse-names":false,"suffix":""},{"dropping-particle":"","family":"Guzenko","given":"Dmytro","non-dropping-particle":"","parse-names":false,"suffix":""},{"dropping-particle":"","family":"Aloia","given":"Mark S","non-dropping-particle":"","parse-names":false,"suffix":""},{"dropping-particle":"","family":"Barr","given":"Shawn","non-dropping-particle":"","parse-names":false,"suffix":""},{"dropping-particle":"","family":"DeFranco","given":"Susan","non-dropping-particle":"","parse-names":false,"suffix":""},{"dropping-particle":"","family":"Gorski","given":"Brandon","non-dropping-particle":"","parse-names":false,"suffix":""},{"dropping-particle":"","family":"Mushtaq","given":"Faisal","non-dropping-particle":"","parse-names":false,"suffix":""},{"dropping-particle":"","family":"Garcia‐Molina","given":"Gary","non-dropping-particle":"","parse-names":false,"suffix":""}],"container-title":"Frontiers in Neurology","id":"ITEM-1","issued":{"date-parts":[["2024"]]},"title":"Fine Tuned Personalized Machine Learning Models to Detect Insomnia Risk Based on Data From a Smart Bed Platform","type":"article-journal","volume":"15"},"uris":["http://www.mendeley.com/documents/?uuid=b36c58d2-5a7b-4cfa-8226-27e4bfc3a0a3"]}],"mendeley":{"formattedCitation":"(Winger dkk., 2024)","manualFormatting":"(Winger dkk., 2024)","plainTextFormattedCitation":"(Winger dkk., 2024)","previouslyFormattedCitation":"(Winger &lt;i&gt;et al.&lt;/i&gt;, 2024)"},"properties":{"noteIndex":0},"schema":"https://github.com/citation-style-language/schema/raw/master/csl-citation.json"}</w:instrText>
      </w:r>
      <w:r>
        <w:rPr>
          <w:lang w:val="zh-CN"/>
        </w:rPr>
        <w:fldChar w:fldCharType="separate"/>
      </w:r>
      <w:r>
        <w:rPr>
          <w:lang w:val="zh-CN"/>
        </w:rPr>
        <w:t>(Winger dkk., 2024)</w:t>
      </w:r>
      <w:r>
        <w:rPr>
          <w:lang w:val="zh-CN"/>
        </w:rPr>
        <w:fldChar w:fldCharType="end"/>
      </w:r>
      <w:r>
        <w:rPr>
          <w:lang w:val="zh-CN"/>
        </w:rPr>
        <w:t>.</w:t>
      </w:r>
    </w:p>
    <w:p w14:paraId="27C728CF">
      <w:pPr>
        <w:pStyle w:val="44"/>
      </w:pPr>
      <w:r>
        <w:t xml:space="preserve">d) </w:t>
      </w:r>
      <w:r>
        <w:rPr>
          <w:i/>
        </w:rPr>
        <w:t>Transfer Learning</w:t>
      </w:r>
      <w:r>
        <w:t xml:space="preserve"> untuk Data </w:t>
      </w:r>
      <w:r>
        <w:rPr>
          <w:i/>
        </w:rPr>
        <w:t>Time Series</w:t>
      </w:r>
    </w:p>
    <w:p w14:paraId="1E754D0A">
      <w:pPr>
        <w:ind w:left="284" w:firstLine="720"/>
        <w:rPr>
          <w:lang w:val="zh-CN"/>
        </w:rPr>
      </w:pPr>
      <w:r>
        <w:rPr>
          <w:lang w:val="zh-CN"/>
        </w:rPr>
        <w:t xml:space="preserve">Penerapan TL pada data </w:t>
      </w:r>
      <w:r>
        <w:rPr>
          <w:i/>
          <w:lang w:val="zh-CN"/>
        </w:rPr>
        <w:t>time series</w:t>
      </w:r>
      <w:r>
        <w:rPr>
          <w:lang w:val="zh-CN"/>
        </w:rPr>
        <w:t xml:space="preserve"> jauh lebih rumit dibandingkan pada data statis. Tantangan utamanya terletak pada sifat data yang terus berubah (non-stasioner) dan perbedaan pola musim antar wilayah. Pola yang berhasil dipelajari dari satu lokasi belum tentu bisa langsung diterapkan di lokasi lain, terutama mengingat dinamika iklim yang unik di setiap daerah. Untuk mengatasinya, strategi yang umum digunakan adalah "membekukan" bagian pemroses utama (</w:t>
      </w:r>
      <w:r>
        <w:rPr>
          <w:i/>
          <w:lang w:val="zh-CN"/>
        </w:rPr>
        <w:t>encoder</w:t>
      </w:r>
      <w:r>
        <w:rPr>
          <w:lang w:val="zh-CN"/>
        </w:rPr>
        <w:t>) untuk menjaga pengetahuan dasar, sembari melatih ulang bagian akhir model (</w:t>
      </w:r>
      <w:r>
        <w:rPr>
          <w:i/>
          <w:lang w:val="zh-CN"/>
        </w:rPr>
        <w:t>prediction head</w:t>
      </w:r>
      <w:r>
        <w:rPr>
          <w:lang w:val="zh-CN"/>
        </w:rPr>
        <w:t xml:space="preserve">) agar sesuai dengan karakteristik data yang baru. Pendekatan adaptasi bertahap ini memungkinkan pemanfaatan pengetahuan lintas wilayah secara efektif, sehingga menghasilkan sistem peramalan iklim yang lebih efisien dan tangguh </w:t>
      </w:r>
      <w:r>
        <w:rPr>
          <w:lang w:val="zh-CN"/>
        </w:rPr>
        <w:fldChar w:fldCharType="begin" w:fldLock="1"/>
      </w:r>
      <w:r>
        <w:rPr>
          <w:lang w:val="zh-CN"/>
        </w:rPr>
        <w:instrText xml:space="preserve">ADDIN CSL_CITATION {"citationItems":[{"id":"ITEM-1","itemData":{"DOI":"10.47852/bonviewjcce42022817","author":[{"dropping-particle":"","family":"Pal","given":"Sankar K","non-dropping-particle":"","parse-names":false,"suffix":""},{"dropping-particle":"","family":"Dutta","given":"Debashree","non-dropping-particle":"","parse-names":false,"suffix":""}],"container-title":"Journal of Computational and Cognitive Engineering","id":"ITEM-1","issue":"4","issued":{"date-parts":[["2024"]]},"page":"324-347","title":"Transfer Learning in Weather Prediction: Why, How, and What Should","type":"article-journal","volume":"3"},"uris":["http://www.mendeley.com/documents/?uuid=0a9f887a-204d-4772-a456-bf6fc6466765"]}],"mendeley":{"formattedCitation":"(Pal dan Dutta, 2024)","manualFormatting":"(Pal dan Dutta, 2024)","plainTextFormattedCitation":"(Pal dan Dutta, 2024)","previouslyFormattedCitation":"(Pal dan Dutta, 2024)"},"properties":{"noteIndex":0},"schema":"https://github.com/citation-style-language/schema/raw/master/csl-citation.json"}</w:instrText>
      </w:r>
      <w:r>
        <w:rPr>
          <w:lang w:val="zh-CN"/>
        </w:rPr>
        <w:fldChar w:fldCharType="separate"/>
      </w:r>
      <w:r>
        <w:rPr>
          <w:lang w:val="zh-CN"/>
        </w:rPr>
        <w:t>(Pal dan Dutta, 2024)</w:t>
      </w:r>
      <w:r>
        <w:rPr>
          <w:lang w:val="zh-CN"/>
        </w:rPr>
        <w:fldChar w:fldCharType="end"/>
      </w:r>
      <w:r>
        <w:rPr>
          <w:lang w:val="zh-CN"/>
        </w:rPr>
        <w:t>.</w:t>
      </w:r>
    </w:p>
    <w:p w14:paraId="1519492F">
      <w:pPr>
        <w:pStyle w:val="4"/>
      </w:pPr>
      <w:bookmarkStart w:id="35" w:name="_Toc236076731"/>
      <w:r>
        <w:t>2.2.</w:t>
      </w:r>
      <w:r>
        <w:rPr>
          <w:lang w:val="en-US"/>
        </w:rPr>
        <w:t>6</w:t>
      </w:r>
      <w:r>
        <w:t xml:space="preserve"> Curah Hujan Dasarian dan Dinamika Iklim Indonesia</w:t>
      </w:r>
      <w:bookmarkEnd w:id="35"/>
    </w:p>
    <w:p w14:paraId="06194DAB">
      <w:pPr>
        <w:pStyle w:val="44"/>
      </w:pPr>
      <w:r>
        <w:t>a) Konsep Curah Hujan Dasarian</w:t>
      </w:r>
    </w:p>
    <w:p w14:paraId="13C55870">
      <w:pPr>
        <w:spacing w:after="0"/>
        <w:ind w:left="360" w:firstLine="633"/>
        <w:rPr>
          <w:lang w:val="zh-CN"/>
        </w:rPr>
      </w:pPr>
      <w:r>
        <w:rPr>
          <w:lang w:val="zh-CN"/>
        </w:rPr>
        <w:t xml:space="preserve">Curah hujan dasarian merupakan agregasi data hujan dalam interval sepuluh harian yang menempati posisi antara resolusi harian dan bulanan, dengan total 36 dasarian dalam satu tahun </w:t>
      </w:r>
      <w:r>
        <w:rPr>
          <w:lang w:val="zh-CN"/>
        </w:rPr>
        <w:fldChar w:fldCharType="begin" w:fldLock="1"/>
      </w:r>
      <w:r>
        <w:rPr>
          <w:lang w:val="zh-CN"/>
        </w:rPr>
        <w:instrText xml:space="preserve">ADDIN CSL_CITATION {"citationItems":[{"id":"ITEM-1","itemData":{"author":[{"dropping-particle":"","family":"World Meteorological Organization (WMO)","given":"","non-dropping-particle":"","parse-names":false,"suffix":""}],"id":"ITEM-1","issued":{"date-parts":[["2023"]]},"title":"Guidelines on Automatic Weather Stations","type":"article-journal"},"uris":["http://www.mendeley.com/documents/?uuid=1abde3d5-9f38-4891-832d-469be74bec22"]},{"id":"ITEM-2","itemData":{"author":[{"dropping-particle":"","family":"BMKG","given":"","non-dropping-particle":"","parse-names":false,"suffix":""}],"id":"ITEM-2","issued":{"date-parts":[["2021"]]},"language":"Indonesian","publisher":"BMKG","publisher-place":"Jakarta","title":"Prakiraan Iklim Dasarian Indonesia","type":"report"},"uris":["http://www.mendeley.com/documents/?uuid=a7291e04-5a20-4f8c-9b2d-13ad0a2876a1"]}],"mendeley":{"formattedCitation":"(BMKG, 2021; World Meteorological Organization (WMO), 2023)","plainTextFormattedCitation":"(BMKG, 2021; World Meteorological Organization (WMO), 2023)","previouslyFormattedCitation":"(BMKG, 2021; World Meteorological Organization (WMO), 2023)"},"properties":{"noteIndex":0},"schema":"https://github.com/citation-style-language/schema/raw/master/csl-citation.json"}</w:instrText>
      </w:r>
      <w:r>
        <w:rPr>
          <w:lang w:val="zh-CN"/>
        </w:rPr>
        <w:fldChar w:fldCharType="separate"/>
      </w:r>
      <w:r>
        <w:rPr>
          <w:lang w:val="zh-CN"/>
        </w:rPr>
        <w:t>(BMKG, 2021; World Meteorological Organization (WMO), 2023)</w:t>
      </w:r>
      <w:r>
        <w:rPr>
          <w:lang w:val="zh-CN"/>
        </w:rPr>
        <w:fldChar w:fldCharType="end"/>
      </w:r>
      <w:r>
        <w:rPr>
          <w:lang w:val="zh-CN"/>
        </w:rPr>
        <w:t xml:space="preserve">. </w:t>
      </w:r>
      <w:r>
        <w:rPr>
          <w:lang w:val="en-US"/>
        </w:rPr>
        <w:t>S</w:t>
      </w:r>
      <w:r>
        <w:t>kala waktu dasarian menjadi standar emas yang digunakan BMKG untuk pemantauan cuaca dan peringatan dini dalam mitigasi bencana seperti banjir dan kekeringan</w:t>
      </w:r>
      <w:r>
        <w:rPr>
          <w:lang w:val="en-US"/>
        </w:rPr>
        <w:t xml:space="preserve"> </w:t>
      </w:r>
      <w:r>
        <w:rPr>
          <w:lang w:val="zh-CN"/>
        </w:rPr>
        <w:fldChar w:fldCharType="begin" w:fldLock="1"/>
      </w:r>
      <w:r>
        <w:rPr>
          <w:lang w:val="zh-CN"/>
        </w:rPr>
        <w:instrText xml:space="preserve">ADDIN CSL_CITATION {"citationItems":[{"id":"ITEM-1","itemData":{"DOI":"10.23917/forgeo.v32i1.5774","abstract":"This research aims to evaluate rainfall estimates of satellite products in regions that have high variations of rainfall pattern. The surrounding area of Makassar Strait have chosen because of its distinctive rainfall pattern between the eastern and western parts of the Makassar Strait. For this purpose, spatial distribution of Pearson’s coefficient correlation and Root Mean Square Error (RMSE) is used to evaluate accuracy of rainfall in the eastern part of Kalimantan Island and the western part of Sulawesi Island. Moreover, we also used the contingency table to complete the parameter accuracy of the TRMM rainfall estimates. The results show that the performance of TRMM rainfall estimates varies depending on space and time. Overall, the coefficient correlation between TRMM and rain observed from no correlation was -0.06 and 0.78 from strong correlation. The best correlation is on the eastern coast of South West Sulawesi located in line with the Java Sea. While, no variation in the correlation was related to flatland such as Kalimantan Island. On the other hand, in the mountain region, the correlation of TRMM rainfall estimates and observed rainfall tend to decrease. The RMSE distribution in this region depends on the accumulation of daily rainfall. RMSE tends to be high where there are higher fluctuations of fluctuating rainfall in a location. From contingency indicators, we found that the TRMM rainfall estimates were overestimate. Generally, the absence of rainfall during the dry season contributes to improving TRMM rainfall estimates by raising accuracy (ACC) in the contingency table.","author":[{"dropping-particle":"","family":"Giarno","given":"G","non-dropping-particle":"","parse-names":false,"suffix":""},{"dropping-particle":"","family":"Hadi","given":"Muhammad Pramono","non-dropping-particle":"","parse-names":false,"suffix":""},{"dropping-particle":"","family":"Suprayogi","given":"Slamet","non-dropping-particle":"","parse-names":false,"suffix":""},{"dropping-particle":"","family":"Murti","given":"Sigit Heru","non-dropping-particle":"","parse-names":false,"suffix":""}],"container-title":"Forum Geografi","id":"ITEM-1","issue":"1","issued":{"date-parts":[["2018"]]},"page":"38-52","title":"Distribution of Accuracy of TRMM Daily Rainfall in Makassar Strait","type":"article-journal","volume":"32"},"uris":["http://www.mendeley.com/documents/?uuid=33ff8702-fd38-456f-909b-d0123f8dfd73"]}],"mendeley":{"formattedCitation":"(Giarno dkk., 2018)","manualFormatting":"(Giarno dkk., 2018)","plainTextFormattedCitation":"(Giarno dkk., 2018)","previouslyFormattedCitation":"(Giarno &lt;i&gt;et al.&lt;/i&gt;, 2018)"},"properties":{"noteIndex":0},"schema":"https://github.com/citation-style-language/schema/raw/master/csl-citation.json"}</w:instrText>
      </w:r>
      <w:r>
        <w:rPr>
          <w:lang w:val="zh-CN"/>
        </w:rPr>
        <w:fldChar w:fldCharType="separate"/>
      </w:r>
      <w:r>
        <w:rPr>
          <w:lang w:val="zh-CN"/>
        </w:rPr>
        <w:t>(Giarno dkk., 2018)</w:t>
      </w:r>
      <w:r>
        <w:rPr>
          <w:lang w:val="zh-CN"/>
        </w:rPr>
        <w:fldChar w:fldCharType="end"/>
      </w:r>
      <w:r>
        <w:rPr>
          <w:lang w:val="zh-CN"/>
        </w:rPr>
        <w:t xml:space="preserve">. Data harian sering kali menunjukkan variabilitas tinggi, sedangkan agregasi bulanan cenderung meredam variabilitas intramusiman sehingga berpotensi mengaburkan sinyal perubahan iklim yang berlangsung cepat. Oleh karena itu, agregasi dasarian menjadi kompromi efektif untuk mempertahankan sensitivitas terhadap perubahan musiman yang relevan bagi interpretasi iklim </w:t>
      </w:r>
      <w:r>
        <w:rPr>
          <w:lang w:val="zh-CN"/>
        </w:rPr>
        <w:fldChar w:fldCharType="begin" w:fldLock="1"/>
      </w:r>
      <w:r>
        <w:rPr>
          <w:lang w:val="zh-CN"/>
        </w:rPr>
        <w:instrText xml:space="preserve">ADDIN CSL_CITATION {"citationItems":[{"id":"ITEM-1","itemData":{"DOI":"10.2151/jmsj.2022-004","abstract":"The interannual and interdecadal variabilities of Indonesian rainfall in dry seasons (June-November) are investigated by using rainfall data from the Climate Research Unit (CRU) from 1939 to 2016, and from the Global Precipitation Climatology Project (GPCP) from 1979 to 2016. The first principal component (PC1) of both the CRU and GPCP data shows that the canonical El Niño-Southern Oscillation (ENSO), ENSO Modoki, and Indian Ocean Dipole (IOD) are major climate modes influencing the interannual variability of rainfall in Indonesia, and the Interdecadal Pacific Oscillation (IPO) is the major decadal phenomenon affecting the decadal variability of the rainfall. Furthermore, the IPO modulates the influence of IOD on Indonesian rainfall, with a weaker influence during the positive IPO phase during 1979-1997 and a stronger influence during the negative IPO phases during 1939-1978 and 1998-2016. The dependency of Indonesian rainfall response to the canonical ENSO and ENSO Modoki on IPO phases is not significant, although the response to the ENSO Modoki (canonical ENSO) becomes significant (less significant) in the negative IPO phase during 1998-2016 compared with earlier periods.","author":[{"dropping-particle":"","family":"NUR'UTAMI","given":"Murni Ngestu","non-dropping-particle":"","parse-names":false,"suffix":""},{"dropping-particle":"","family":"HAYASAKA","given":"Tadahiro","non-dropping-particle":"","parse-names":false,"suffix":""}],"container-title":"Journal of the Meteorological Society of Japan. Ser. II","id":"ITEM-1","issue":"1","issued":{"date-parts":[["2022"]]},"page":"77-97","title":"Interannual Variability of the Indonesian Rainfall and Air–Sea Interaction Over the Indo–Pacific Associated With Interdecadal Pacific Oscillation Phases in the Dry Season","type":"article-journal","volume":"100"},"uris":["http://www.mendeley.com/documents/?uuid=50639d4e-daff-4980-bf8d-68265409856e"]}],"mendeley":{"formattedCitation":"(NUR’UTAMI dan HAYASAKA, 2022)","manualFormatting":"(Nur’utami And Hayasaka, 2022)","plainTextFormattedCitation":"(NUR’UTAMI dan HAYASAKA, 2022)","previouslyFormattedCitation":"(NUR’UTAMI dan HAYASAKA, 2022)"},"properties":{"noteIndex":0},"schema":"https://github.com/citation-style-language/schema/raw/master/csl-citation.json"}</w:instrText>
      </w:r>
      <w:r>
        <w:rPr>
          <w:lang w:val="zh-CN"/>
        </w:rPr>
        <w:fldChar w:fldCharType="separate"/>
      </w:r>
      <w:r>
        <w:rPr>
          <w:lang w:val="zh-CN"/>
        </w:rPr>
        <w:t>(Nur’utami And Hayasaka, 2022)</w:t>
      </w:r>
      <w:r>
        <w:rPr>
          <w:lang w:val="zh-CN"/>
        </w:rPr>
        <w:fldChar w:fldCharType="end"/>
      </w:r>
      <w:r>
        <w:rPr>
          <w:lang w:val="zh-CN"/>
        </w:rPr>
        <w:t>.</w:t>
      </w:r>
    </w:p>
    <w:p w14:paraId="14DE86D3">
      <w:pPr>
        <w:pStyle w:val="44"/>
      </w:pPr>
      <w:r>
        <w:t>b) Non-Stasioneritas Temporal</w:t>
      </w:r>
    </w:p>
    <w:p w14:paraId="37E700BA">
      <w:pPr>
        <w:spacing w:after="0"/>
        <w:ind w:left="360" w:firstLine="633"/>
        <w:rPr>
          <w:lang w:val="zh-CN"/>
        </w:rPr>
      </w:pPr>
      <w:r>
        <w:rPr>
          <w:lang w:val="zh-CN"/>
        </w:rPr>
        <w:t xml:space="preserve">Curah hujan umumnya bersifat non-stasioner, ditandai oleh pergeseran karakteristik statistik dari waktu ke waktu akibat pengaruh tren iklim jangka panjang, siklus musiman, serta perubahan rezim yang dapat terjadi secara tiba-tiba </w:t>
      </w:r>
      <w:r>
        <w:rPr>
          <w:lang w:val="zh-CN"/>
        </w:rPr>
        <w:fldChar w:fldCharType="begin" w:fldLock="1"/>
      </w:r>
      <w:r>
        <w:rPr>
          <w:lang w:val="zh-CN"/>
        </w:rPr>
        <w:instrText xml:space="preserve">ADDIN CSL_CITATION {"citationItems":[{"id":"ITEM-1","itemData":{"DOI":"10.1002/joc.4829","abstract":" ABSTRACT This paper documents the changes in climate extremes over Indonesia during the past three decades (1983–2012) based on a subset of extreme indices recommended by the Expert Team on Climate Change Detection and Indices (ETCCDI). The extreme indices were calculated based on the quality controlled daily observational data (minimum and maximum temperature and precipitation) from 88 weather stations. Overall, we found significant and spatially coherent trends of warming in the temperature indices over Indonesia, consistent with other studies conducted at different countries within the Southeast Asia. The frequency of cool days (TX10p) and cools nights (TN10p) had decreased whereas warm days (TX90p) and warm nights (TN90p) were observed more frequently. Averaged over the country, the annual mean of daily maximum (TXmean) and minimum temperature (TNmean) had increased significantly by 0.18 and 0.30 °C decade−1, respectively. Other temperature indices also showed significant warming trends. In contrast, trends in the precipitation extremes indices were generally not significant and less spatially coherent. However, a tendency towards wetter conditions was observed, in agreement with the results at the global scale. The daily precipitation intensity (SDII) had increased significantly over the country by 0.21 mm day−1 decade−1 during the period studied. At the regional scale, we observed a significant wetting trend in the annual highest daily amount (RX1day) and the rainfall amount contributed by the extremely very wet days (R99p) in the northern part of the country. The wetting trends of a number of extreme precipitation indices were depicted prominently in December–January–February (DJF) and/or March–April–May (MAM) seasons, both at country and regional levels. However, for the southern region of Indonesia, a drying tendency was observed for June–July–August (JJA), September–October–November (SON) and MAM. ","author":[{"dropping-particle":"","family":"Supari","given":"None","non-dropping-particle":"","parse-names":false,"suffix":""},{"dropping-particle":"","family":"Tangang","given":"Fredolin","non-dropping-particle":"","parse-names":false,"suffix":""},{"dropping-particle":"","family":"Juneng","given":"Liew","non-dropping-particle":"","parse-names":false,"suffix":""},{"dropping-particle":"","family":"Aldrian","given":"Edvin","non-dropping-particle":"","parse-names":false,"suffix":""}],"container-title":"International Journal of Climatology","id":"ITEM-1","issue":"4","issued":{"date-parts":[["2016"]]},"page":"1979-1997","title":"Observed Changes in Extreme Temperature and Precipitation Over Indonesia","type":"article-journal","volume":"37"},"uris":["http://www.mendeley.com/documents/?uuid=217fbed8-68a3-46fd-a0bd-2003066b597c"]}],"mendeley":{"formattedCitation":"(Supari dkk., 2016)","manualFormatting":"(Supari dkk., 2016)","plainTextFormattedCitation":"(Supari dkk., 2016)","previouslyFormattedCitation":"(Supari &lt;i&gt;et al.&lt;/i&gt;, 2016)"},"properties":{"noteIndex":0},"schema":"https://github.com/citation-style-language/schema/raw/master/csl-citation.json"}</w:instrText>
      </w:r>
      <w:r>
        <w:rPr>
          <w:lang w:val="zh-CN"/>
        </w:rPr>
        <w:fldChar w:fldCharType="separate"/>
      </w:r>
      <w:r>
        <w:rPr>
          <w:lang w:val="zh-CN"/>
        </w:rPr>
        <w:t>(Supari dkk., 2016)</w:t>
      </w:r>
      <w:r>
        <w:rPr>
          <w:lang w:val="zh-CN"/>
        </w:rPr>
        <w:fldChar w:fldCharType="end"/>
      </w:r>
      <w:r>
        <w:rPr>
          <w:lang w:val="zh-CN"/>
        </w:rPr>
        <w:t xml:space="preserve">. Curah hujan nasional menunjukkan struktur musiman yang kuat, dengan periode tertentu dalam setahun yang konsisten mengalami peningkatan presipitasi, sehingga membentuk pola yang berulang </w:t>
      </w:r>
      <w:r>
        <w:rPr>
          <w:lang w:val="zh-CN"/>
        </w:rPr>
        <w:fldChar w:fldCharType="begin" w:fldLock="1"/>
      </w:r>
      <w:r>
        <w:rPr>
          <w:lang w:val="zh-CN"/>
        </w:rPr>
        <w:instrText xml:space="preserve">ADDIN CSL_CITATION {"citationItems":[{"id":"ITEM-1","itemData":{"DOI":"10.3390/atmos15020187","abstract":"Several investigations have proven the existence of monsoons in Indonesia. However, this has received little attention due to the scientific argument that the region of 10° N–10° S is not monsoonal because it receives precipitation all year round. This study used space–time SVD analysis of atmospheric and oceanic field data for 30 years (1990–2020) to detect monsoon signals and related features. The single-field SVD analysis of rainfall revealed that the first mode accounts for only 33% of the total variance, suggesting it is highly variable. Both the PC space and time series show the well-known monsoon pattern. Further, the Indonesian monsoon regimes and phases are defined based on the revealed rainfall features. The wet season lasts from November to April, accounting for more than 77% of annual precipitation. The coupled-field SVD analyses show that Indonesian monsoon rainfall strongly correlates with local SST (PC1 accounts for 70.4%), and the pattern is associated with the Asian winter monsoon. The heterogonous vector correlation map analysis revealed that the related features during the monsoon, including the strengthening and weakening of subtropical anticyclones, the intertwining of westerly wind in the Indian Ocean, and variations in the north–south dipole structure of the ocean temperature, are linked to variations in Indonesia’s monsoon rainfall. This result can serve as the dynamic basis for defining the Indonesian monsoon index in the context of the center of action.","author":[{"dropping-particle":"","family":"Mulsandi","given":"Adi","non-dropping-particle":"","parse-names":false,"suffix":""},{"dropping-particle":"","family":"Koesmaryono","given":"Yonny","non-dropping-particle":"","parse-names":false,"suffix":""},{"dropping-particle":"","family":"Hidayat","given":"Rahmat","non-dropping-particle":"","parse-names":false,"suffix":""},{"dropping-particle":"","family":"Faqih","given":"Akhmad","non-dropping-particle":"","parse-names":false,"suffix":""},{"dropping-particle":"","family":"Sopaheluwakan","given":"Ardhasena","non-dropping-particle":"","parse-names":false,"suffix":""}],"container-title":"Atmosphere","id":"ITEM-1","issue":"2","issued":{"date-parts":[["2024"]]},"page":"187","title":"Detecting Indonesian Monsoon Signals and Related Features Using Space–Time Singular Value Decomposition (SVD)","type":"article-journal","volume":"15"},"uris":["http://www.mendeley.com/documents/?uuid=8d6d8be9-4e9d-4130-a806-601b4c45ff5d"]}],"mendeley":{"formattedCitation":"(Mulsandi dkk., 2024)","manualFormatting":"(Mulsandi dkk., 2024)","plainTextFormattedCitation":"(Mulsandi dkk., 2024)","previouslyFormattedCitation":"(Mulsandi &lt;i&gt;et al.&lt;/i&gt;, 2024)"},"properties":{"noteIndex":0},"schema":"https://github.com/citation-style-language/schema/raw/master/csl-citation.json"}</w:instrText>
      </w:r>
      <w:r>
        <w:rPr>
          <w:lang w:val="zh-CN"/>
        </w:rPr>
        <w:fldChar w:fldCharType="separate"/>
      </w:r>
      <w:r>
        <w:rPr>
          <w:lang w:val="zh-CN"/>
        </w:rPr>
        <w:t>(Mulsandi dkk., 2024)</w:t>
      </w:r>
      <w:r>
        <w:rPr>
          <w:lang w:val="zh-CN"/>
        </w:rPr>
        <w:fldChar w:fldCharType="end"/>
      </w:r>
      <w:r>
        <w:rPr>
          <w:lang w:val="zh-CN"/>
        </w:rPr>
        <w:t xml:space="preserve">. Secara statistik, distribusi curah hujan umumnya bersifat </w:t>
      </w:r>
      <w:r>
        <w:rPr>
          <w:i/>
          <w:iCs/>
          <w:lang w:val="zh-CN"/>
        </w:rPr>
        <w:t>right-skewed</w:t>
      </w:r>
      <w:r>
        <w:rPr>
          <w:lang w:val="zh-CN"/>
        </w:rPr>
        <w:t>, di mana kejadian hujan ringan mendominasi, sementara hujan lebat muncul lebih jarang namun memiliki varians tinggi. Kondisi ini menimbulkan tantangan dalam pemodelan, varians data tidak konstan dan dipengaruhi secara signifikan oleh nilai ekstrem. Untuk mengurangi kemencengan distribusi dan menstabilkan varians, sering diterapkan transformasi akar kuadrat yang dinyatakan sebagai</w:t>
      </w:r>
      <w:r>
        <w:t>:</w:t>
      </w:r>
    </w:p>
    <w:p w14:paraId="3413C2A0">
      <w:pPr>
        <w:tabs>
          <w:tab w:val="left" w:pos="7371"/>
        </w:tabs>
        <w:spacing w:after="0"/>
        <w:jc w:val="center"/>
      </w:pPr>
      <m:oMathPara>
        <m:oMath>
          <m:eqArr>
            <m:eqArrPr>
              <m:maxDist m:val="1"/>
              <m:ctrlPr>
                <w:rPr>
                  <w:rFonts w:ascii="Cambria Math" w:hAnsi="Cambria Math"/>
                  <w:i/>
                </w:rPr>
              </m:ctrlPr>
            </m:eqArrPr>
            <m:e>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trans</m:t>
                  </m:r>
                  <m:ctrlPr>
                    <w:rPr>
                      <w:rFonts w:ascii="Cambria Math" w:hAnsi="Cambria Math"/>
                      <w:i/>
                    </w:rPr>
                  </m:ctrlPr>
                </m:sub>
              </m:sSub>
              <m:r>
                <m:rPr/>
                <w:rPr>
                  <w:rFonts w:ascii="Cambria Math" w:hAnsi="Cambria Math"/>
                </w:rPr>
                <m:t xml:space="preserve">= </m:t>
              </m:r>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raw</m:t>
                      </m:r>
                      <m:ctrlPr>
                        <w:rPr>
                          <w:rFonts w:ascii="Cambria Math" w:hAnsi="Cambria Math"/>
                          <w:i/>
                        </w:rPr>
                      </m:ctrlPr>
                    </m:sub>
                  </m:sSub>
                  <m:r>
                    <m:rPr/>
                    <w:rPr>
                      <w:rFonts w:ascii="Cambria Math" w:hAnsi="Cambria Math"/>
                    </w:rPr>
                    <m:t>+c</m:t>
                  </m:r>
                  <m:ctrlPr>
                    <w:rPr>
                      <w:rFonts w:ascii="Cambria Math" w:hAnsi="Cambria Math"/>
                      <w:i/>
                    </w:rPr>
                  </m:ctrlPr>
                </m:e>
              </m:rad>
              <m:r>
                <m:rPr/>
                <w:rPr>
                  <w:rFonts w:ascii="Cambria Math" w:hAnsi="Cambria Math"/>
                </w:rPr>
                <m:t xml:space="preserve"> #</m:t>
              </m:r>
              <m:d>
                <m:dPr>
                  <m:ctrlPr>
                    <w:rPr>
                      <w:rFonts w:ascii="Cambria Math" w:hAnsi="Cambria Math"/>
                      <w:i/>
                    </w:rPr>
                  </m:ctrlPr>
                </m:dPr>
                <m:e>
                  <m:r>
                    <m:rPr/>
                    <w:rPr>
                      <w:rFonts w:ascii="Cambria Math" w:hAnsi="Cambria Math"/>
                    </w:rPr>
                    <m:t>2.1</m:t>
                  </m:r>
                  <m:ctrlPr>
                    <w:rPr>
                      <w:rFonts w:ascii="Cambria Math" w:hAnsi="Cambria Math"/>
                      <w:i/>
                    </w:rPr>
                  </m:ctrlPr>
                </m:e>
              </m:d>
              <m:ctrlPr>
                <w:rPr>
                  <w:rFonts w:ascii="Cambria Math" w:hAnsi="Cambria Math"/>
                  <w:i/>
                </w:rPr>
              </m:ctrlPr>
            </m:e>
          </m:eqArr>
        </m:oMath>
      </m:oMathPara>
    </w:p>
    <w:p w14:paraId="751E52E8">
      <w:pPr>
        <w:spacing w:after="0"/>
        <w:ind w:left="360"/>
      </w:pPr>
      <w:r>
        <w:t xml:space="preserve">dengan konstanta kecil </w:t>
      </w:r>
      <m:oMath>
        <m:r>
          <m:rPr/>
          <w:rPr>
            <w:rFonts w:ascii="Cambria Math" w:hAnsi="Cambria Math"/>
          </w:rPr>
          <m:t xml:space="preserve">c= 0.25  </m:t>
        </m:r>
      </m:oMath>
      <w:r>
        <w:t xml:space="preserve">untuk menghindari nilai nol. Transformasi ini bertujuan meningkatkan ketahanan analisis statistik dan pemodelan terhadap pengaruh hujan ekstrem </w:t>
      </w:r>
      <w:r>
        <w:fldChar w:fldCharType="begin" w:fldLock="1"/>
      </w:r>
      <w:r>
        <w:instrText xml:space="preserve">ADDIN CSL_CITATION {"citationItems":[{"id":"ITEM-1","itemData":{"DOI":"10.3390/rs15225300","abstract":"Precipitation datasets derived from reanalysis products play a crucial role in weather forecasting and hydrological applications. This paper aims to evaluate the performance of two distinct reanalysis precipitation products, i.e., the first-generation Chinese global land-surface reanalysis precipitation product (CRA40) and the fifth-generation European reanalysis precipitation product (ERA5), over mainland China. The evaluation is based on continuous and categorical statistical indicators with daily-scale gridded-point rain gauge data obtained from Chinese surface meteorological stations. The findings of this study can be summarized as follows: (1) CRA40 demonstrates a clear superiority over ERA5 in terms of the 13-year daily mean precipitation and seasonal daily precipitation. CRA40 exhibits better correlation coefficients (0.97), relative biases (5.25%), root mean square errors (0.34 mm), and fractional standard errors (0.05). (2) Both reanalyzed precipitation products generally exhibit an overestimation of precipitation in mainland China. The degree of overestimation is particularly pronounced in dry climatic regions (e.g., QZ, XJ), while wet regions (e.g., CJ, HN) demonstrate relatively less overestimation. (3) ERA5 shows better performance in the detection of daily precipitation. Neither CRA40 nor ERA5 can capture heavy precipitation events well. These findings are expected to advance our understanding of the strengths and limitations of the reanalysis precipitation products, CRA40 and ERA5, over China.","author":[{"dropping-particle":"","family":"Zhou","given":"Zelan","non-dropping-particle":"","parse-names":false,"suffix":""},{"dropping-particle":"","family":"Chen","given":"Sheng","non-dropping-particle":"","parse-names":false,"suffix":""},{"dropping-particle":"","family":"Li","given":"Zhi","non-dropping-particle":"","parse-names":false,"suffix":""},{"dropping-particle":"","family":"Luo","given":"Yongming","non-dropping-particle":"","parse-names":false,"suffix":""}],"container-title":"Remote Sensing","id":"ITEM-1","issue":"22","issued":{"date-parts":[["2023"]]},"page":"5300","title":"An Evaluation of CRA40 and ERA5 Precipitation Products Over China","type":"article-journal","volume":"15"},"uris":["http://www.mendeley.com/documents/?uuid=2510b55a-c18a-4116-9b49-ba69dcf67d53"]}],"mendeley":{"formattedCitation":"(Zhou dkk., 2023)","manualFormatting":"(Zhou dkk., 2023)","plainTextFormattedCitation":"(Zhou dkk., 2023)","previouslyFormattedCitation":"(Zhou &lt;i&gt;et al.&lt;/i&gt;, 2023)"},"properties":{"noteIndex":0},"schema":"https://github.com/citation-style-language/schema/raw/master/csl-citation.json"}</w:instrText>
      </w:r>
      <w:r>
        <w:fldChar w:fldCharType="separate"/>
      </w:r>
      <w:r>
        <w:t>(Zhou dkk., 2023)</w:t>
      </w:r>
      <w:r>
        <w:fldChar w:fldCharType="end"/>
      </w:r>
      <w:r>
        <w:t>.</w:t>
      </w:r>
    </w:p>
    <w:p w14:paraId="275F85DE">
      <w:pPr>
        <w:pStyle w:val="44"/>
      </w:pPr>
      <w:r>
        <w:t>c) Pola Distribusi Curah Hujan Indonesia</w:t>
      </w:r>
    </w:p>
    <w:p w14:paraId="169F6B98">
      <w:pPr>
        <w:keepNext/>
        <w:spacing w:after="0"/>
        <w:jc w:val="center"/>
      </w:pPr>
      <w:r>
        <w:drawing>
          <wp:inline distT="0" distB="0" distL="0" distR="0">
            <wp:extent cx="4908550" cy="26924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25860" cy="2701559"/>
                    </a:xfrm>
                    <a:prstGeom prst="rect">
                      <a:avLst/>
                    </a:prstGeom>
                  </pic:spPr>
                </pic:pic>
              </a:graphicData>
            </a:graphic>
          </wp:inline>
        </w:drawing>
      </w:r>
    </w:p>
    <w:p w14:paraId="7CEF66CE">
      <w:pPr>
        <w:pStyle w:val="11"/>
        <w:keepNext/>
        <w:spacing w:after="0" w:line="276" w:lineRule="auto"/>
        <w:jc w:val="center"/>
        <w:rPr>
          <w:b/>
          <w:i w:val="0"/>
          <w:color w:val="auto"/>
          <w:sz w:val="24"/>
        </w:rPr>
      </w:pPr>
      <w:bookmarkStart w:id="36" w:name="_Toc236077370"/>
      <w:r>
        <w:rPr>
          <w:b/>
          <w:i w:val="0"/>
          <w:color w:val="auto"/>
          <w:sz w:val="24"/>
        </w:rPr>
        <w:t>Gambar 2.</w:t>
      </w:r>
      <w:r>
        <w:rPr>
          <w:b/>
          <w:i w:val="0"/>
          <w:color w:val="auto"/>
          <w:sz w:val="24"/>
          <w:lang w:val="en-US"/>
        </w:rPr>
        <w:t xml:space="preserve"> </w:t>
      </w:r>
      <w:r>
        <w:rPr>
          <w:b/>
          <w:i w:val="0"/>
          <w:color w:val="auto"/>
          <w:sz w:val="24"/>
        </w:rPr>
        <w:fldChar w:fldCharType="begin"/>
      </w:r>
      <w:r>
        <w:rPr>
          <w:b/>
          <w:i w:val="0"/>
          <w:color w:val="auto"/>
          <w:sz w:val="24"/>
        </w:rPr>
        <w:instrText xml:space="preserve"> SEQ Gambar_2.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rPr>
        <w:t xml:space="preserve"> Pola Distribusi Curah Hujan Indonesia</w:t>
      </w:r>
      <w:bookmarkEnd w:id="36"/>
    </w:p>
    <w:p w14:paraId="0747DCB5">
      <w:pPr>
        <w:spacing w:line="276" w:lineRule="auto"/>
        <w:jc w:val="center"/>
        <w:rPr>
          <w:lang w:val="en-US"/>
        </w:rPr>
      </w:pPr>
      <w:r>
        <w:rPr>
          <w:lang w:val="en-US"/>
        </w:rPr>
        <w:t>Sumber: BMKG</w:t>
      </w:r>
    </w:p>
    <w:p w14:paraId="6AEAC692">
      <w:pPr>
        <w:spacing w:after="0"/>
        <w:ind w:left="360" w:firstLine="633"/>
        <w:rPr>
          <w:lang w:val="en-US"/>
        </w:rPr>
      </w:pPr>
      <w:r>
        <w:rPr>
          <w:lang w:val="en-US"/>
        </w:rPr>
        <w:t xml:space="preserve">Sebagai negara kepulauan dengan topografi yang berbeda-beda, Indonesia memiliki sebaran curah hujan yang tidak seragam. Sebagaimana di Gambar 2.6, terdapat tiga pola hujan utama di Indonesia </w:t>
      </w:r>
      <w:r>
        <w:rPr>
          <w:lang w:val="en-US"/>
        </w:rPr>
        <w:fldChar w:fldCharType="begin" w:fldLock="1"/>
      </w:r>
      <w:r>
        <w:rPr>
          <w:lang w:val="en-US"/>
        </w:rPr>
        <w:instrText xml:space="preserve">ADDIN CSL_CITATION {"citationItems":[{"id":"ITEM-1","itemData":{"DOI":"https://doi.org/10.1002/joc.950","ISSN":"0899-8418","abstract":"Abstract The characteristics of climatic rainfall variability in Indonesia are investigated using a double correlation method. The results are compared with empirical orthogonal function (EOF) and rotated EOF methods. In addition, local and remote responses to sea-surface temperature (SST) are discussed. The results suggest three climatic regions in Indonesia with their distinct characteristics. Region A is located in southern Indonesia from south Sumatera to Timor island, southern Kalimantan, Sulawesi and part of Irian Jaya. Region B is located in northwest Indonesia from northern Sumatra to northwestern Kalimantan. Region C encompasses Maluku and northern Sulawesi. All three regions show both strong annual and, except Region A, semi-annual variability. Region C shows the strongest El Niño?southern oscillation (ENSO) influence, followed by Region A. In Region B, the ENSO-related signal is suppressed. Except for Region B, there are significant correlations between SST and the rainfall variabilities, indicating a strong possibility for seasonal climate predictions. March to May is the most difficult season to predict the rainfall variability. From June to November, there are significant responses of the rainfall pattern to ENSO in Regions A and C. A strong ENSO influence during this normally dry season (June to September) is hazardous in El Niño years, because the negative response means that higher SST in the NIÑO3 of the Pacific region will lower the rainfall amount over the Indonesian region. Analyses of Indonesian rainfall variability reveal some sensitivities to SST variabilities in adjacent parts of the Indian and Pacific Oceans. Copyright ? 2003 Royal Meteorological Society","author":[{"dropping-particle":"","family":"Aldrian","given":"Edvin","non-dropping-particle":"","parse-names":false,"suffix":""},{"dropping-particle":"","family":"Dwi Susanto","given":"R","non-dropping-particle":"","parse-names":false,"suffix":""}],"container-title":"International Journal of Climatology","id":"ITEM-1","issue":"12","issued":{"date-parts":[["2003","10","1"]]},"page":"1435-1452","publisher":"John Wiley &amp; Sons, Ltd","title":"Identification of three dominant rainfall regions within Indonesia and their relationship to sea surface temperature","type":"article-journal","volume":"23"},"uris":["http://www.mendeley.com/documents/?uuid=72070aeb-0dd2-4839-9d71-a4c3368ca89e"]}],"mendeley":{"formattedCitation":"(Aldrian dan Dwi Susanto, 2003)","manualFormatting":"(Aldrian dan Dwi Susanto, 2003)","plainTextFormattedCitation":"(Aldrian dan Dwi Susanto, 2003)","previouslyFormattedCitation":"(Aldrian dan Dwi Susanto, 2003)"},"properties":{"noteIndex":0},"schema":"https://github.com/citation-style-language/schema/raw/master/csl-citation.json"}</w:instrText>
      </w:r>
      <w:r>
        <w:rPr>
          <w:lang w:val="en-US"/>
        </w:rPr>
        <w:fldChar w:fldCharType="separate"/>
      </w:r>
      <w:r>
        <w:rPr>
          <w:lang w:val="en-US"/>
        </w:rPr>
        <w:t>(Aldrian dan Dwi Susanto, 2003)</w:t>
      </w:r>
      <w:r>
        <w:rPr>
          <w:lang w:val="en-US"/>
        </w:rPr>
        <w:fldChar w:fldCharType="end"/>
      </w:r>
      <w:r>
        <w:rPr>
          <w:lang w:val="en-US"/>
        </w:rPr>
        <w:t>, yakni:</w:t>
      </w:r>
    </w:p>
    <w:p w14:paraId="4BD0BF6E">
      <w:pPr>
        <w:pStyle w:val="33"/>
        <w:numPr>
          <w:ilvl w:val="0"/>
          <w:numId w:val="15"/>
        </w:numPr>
        <w:spacing w:after="0"/>
        <w:ind w:left="993" w:hanging="633"/>
        <w:rPr>
          <w:lang w:val="en-US"/>
        </w:rPr>
      </w:pPr>
      <w:r>
        <w:rPr>
          <w:lang w:val="en-US"/>
        </w:rPr>
        <w:t xml:space="preserve">Pola Monsunal yang mendominasi wilayah selatan (seperti Jawa dan Nusa Tenggara) ditandai oleh satu puncak hujan dengan pemisahan yang tegas antara musim hujan dan kemarau. </w:t>
      </w:r>
    </w:p>
    <w:p w14:paraId="224CCA7C">
      <w:pPr>
        <w:pStyle w:val="33"/>
        <w:numPr>
          <w:ilvl w:val="0"/>
          <w:numId w:val="15"/>
        </w:numPr>
        <w:spacing w:after="0"/>
        <w:ind w:left="993" w:hanging="633"/>
        <w:rPr>
          <w:lang w:val="en-US"/>
        </w:rPr>
      </w:pPr>
      <w:r>
        <w:rPr>
          <w:lang w:val="en-US"/>
        </w:rPr>
        <w:t xml:space="preserve">Pola Ekuatorial di Sumatera dan Kalimantan yang mengalami dua kali puncak hujan dalam setahun mengikuti pergerakan zona pertemuan angin tropis. </w:t>
      </w:r>
    </w:p>
    <w:p w14:paraId="7700C39F">
      <w:pPr>
        <w:pStyle w:val="33"/>
        <w:numPr>
          <w:ilvl w:val="0"/>
          <w:numId w:val="15"/>
        </w:numPr>
        <w:spacing w:after="0"/>
        <w:ind w:left="993" w:hanging="633"/>
        <w:rPr>
          <w:lang w:val="en-US"/>
        </w:rPr>
      </w:pPr>
      <w:r>
        <w:rPr>
          <w:lang w:val="en-US"/>
        </w:rPr>
        <w:t xml:space="preserve">Pola Lokal di wilayah Maluku menunjukkan siklus terbalik, di mana curah hujan tertinggi justru terjadi pada pertengahan tahun saat wilayah lain sedang kering. </w:t>
      </w:r>
    </w:p>
    <w:p w14:paraId="735D9D06">
      <w:pPr>
        <w:spacing w:after="0"/>
        <w:ind w:left="360" w:firstLine="633"/>
        <w:rPr>
          <w:lang w:val="en-US"/>
        </w:rPr>
      </w:pPr>
      <w:r>
        <w:t xml:space="preserve">Keberagaman kondisi ini menuntut pendekatan model yang tidak hanya mengandalkan satu parameter statis, melainkan memiliki </w:t>
      </w:r>
      <w:r>
        <w:rPr>
          <w:bCs/>
        </w:rPr>
        <w:t>kemampuan adaptasi tinggi</w:t>
      </w:r>
      <w:r>
        <w:t xml:space="preserve"> untuk mengenali ciri khas hujan di berbagai wilayah.</w:t>
      </w:r>
      <w:r>
        <w:rPr>
          <w:lang w:val="en-US"/>
        </w:rPr>
        <w:t xml:space="preserve"> </w:t>
      </w:r>
    </w:p>
    <w:p w14:paraId="695DEF88">
      <w:pPr>
        <w:pStyle w:val="44"/>
      </w:pPr>
      <w:r>
        <w:t>d) Variabel Meteorologi untuk Peramalan Curah Hujan</w:t>
      </w:r>
    </w:p>
    <w:p w14:paraId="53BB1417">
      <w:pPr>
        <w:pStyle w:val="33"/>
        <w:numPr>
          <w:ilvl w:val="0"/>
          <w:numId w:val="16"/>
        </w:numPr>
        <w:spacing w:after="0"/>
      </w:pPr>
      <w:r>
        <w:t>Temperatur dan Kelembaban</w:t>
      </w:r>
    </w:p>
    <w:p w14:paraId="4AFE8E79">
      <w:pPr>
        <w:pStyle w:val="33"/>
        <w:spacing w:after="0"/>
        <w:ind w:left="1080" w:firstLine="621"/>
        <w:rPr>
          <w:lang w:val="en-US"/>
        </w:rPr>
      </w:pPr>
      <w:r>
        <w:t>Suhu udara pada ketinggian 2 meter krusial dalam meregulasi kapasitas tampung uap air atmosfer, yang berimplikasi langsung pada potensi presipitasi. Saat suhu naik, tekanan uap jenuh pun meningkat, memungkinkan atmosfer menyimpan lebih banyak massa air</w:t>
      </w:r>
      <w:r>
        <w:rPr>
          <w:lang w:val="en-US"/>
        </w:rPr>
        <w:t xml:space="preserve"> </w:t>
      </w:r>
      <w:r>
        <w:rPr>
          <w:lang w:val="en-US"/>
        </w:rPr>
        <w:fldChar w:fldCharType="begin" w:fldLock="1"/>
      </w:r>
      <w:r>
        <w:rPr>
          <w:lang w:val="en-US"/>
        </w:rPr>
        <w:instrText xml:space="preserve">ADDIN CSL_CITATION {"citationItems":[{"id":"ITEM-1","itemData":{"DOI":"10.1002/joc.4829","abstract":" ABSTRACT This paper documents the changes in climate extremes over Indonesia during the past three decades (1983–2012) based on a subset of extreme indices recommended by the Expert Team on Climate Change Detection and Indices (ETCCDI). The extreme indices were calculated based on the quality controlled daily observational data (minimum and maximum temperature and precipitation) from 88 weather stations. Overall, we found significant and spatially coherent trends of warming in the temperature indices over Indonesia, consistent with other studies conducted at different countries within the Southeast Asia. The frequency of cool days (TX10p) and cools nights (TN10p) had decreased whereas warm days (TX90p) and warm nights (TN90p) were observed more frequently. Averaged over the country, the annual mean of daily maximum (TXmean) and minimum temperature (TNmean) had increased significantly by 0.18 and 0.30 °C decade−1, respectively. Other temperature indices also showed significant warming trends. In contrast, trends in the precipitation extremes indices were generally not significant and less spatially coherent. However, a tendency towards wetter conditions was observed, in agreement with the results at the global scale. The daily precipitation intensity (SDII) had increased significantly over the country by 0.21 mm day−1 decade−1 during the period studied. At the regional scale, we observed a significant wetting trend in the annual highest daily amount (RX1day) and the rainfall amount contributed by the extremely very wet days (R99p) in the northern part of the country. The wetting trends of a number of extreme precipitation indices were depicted prominently in December–January–February (DJF) and/or March–April–May (MAM) seasons, both at country and regional levels. However, for the southern region of Indonesia, a drying tendency was observed for June–July–August (JJA), September–October–November (SON) and MAM. ","author":[{"dropping-particle":"","family":"Supari","given":"None","non-dropping-particle":"","parse-names":false,"suffix":""},{"dropping-particle":"","family":"Tangang","given":"Fredolin","non-dropping-particle":"","parse-names":false,"suffix":""},{"dropping-particle":"","family":"Juneng","given":"Liew","non-dropping-particle":"","parse-names":false,"suffix":""},{"dropping-particle":"","family":"Aldrian","given":"Edvin","non-dropping-particle":"","parse-names":false,"suffix":""}],"container-title":"International Journal of Climatology","id":"ITEM-1","issue":"4","issued":{"date-parts":[["2016"]]},"page":"1979-1997","title":"Observed Changes in Extreme Temperature and Precipitation Over Indonesia","type":"article-journal","volume":"37"},"uris":["http://www.mendeley.com/documents/?uuid=217fbed8-68a3-46fd-a0bd-2003066b597c"]}],"mendeley":{"formattedCitation":"(Supari dkk., 2016)","manualFormatting":"(Supari dkk., 2016)","plainTextFormattedCitation":"(Supari dkk., 2016)","previouslyFormattedCitation":"(Supari &lt;i&gt;et al.&lt;/i&gt;, 2016)"},"properties":{"noteIndex":0},"schema":"https://github.com/citation-style-language/schema/raw/master/csl-citation.json"}</w:instrText>
      </w:r>
      <w:r>
        <w:rPr>
          <w:lang w:val="en-US"/>
        </w:rPr>
        <w:fldChar w:fldCharType="separate"/>
      </w:r>
      <w:r>
        <w:rPr>
          <w:lang w:val="en-US"/>
        </w:rPr>
        <w:t>(Supari dkk., 2016)</w:t>
      </w:r>
      <w:r>
        <w:rPr>
          <w:lang w:val="en-US"/>
        </w:rPr>
        <w:fldChar w:fldCharType="end"/>
      </w:r>
      <w:r>
        <w:t>.</w:t>
      </w:r>
      <w:r>
        <w:rPr>
          <w:lang w:val="en-US"/>
        </w:rPr>
        <w:t xml:space="preserve"> Sementara itu, kelembapan relatif (</w:t>
      </w:r>
      <w:r>
        <w:rPr>
          <w:i/>
          <w:lang w:val="en-US"/>
        </w:rPr>
        <w:t>rh</w:t>
      </w:r>
      <w:r>
        <w:rPr>
          <w:lang w:val="en-US"/>
        </w:rPr>
        <w:t>) menjadi indikator kedekatan udara terhadap saturasi, yakni rasio tekanan uap aktual (</w:t>
      </w:r>
      <w:r>
        <w:rPr>
          <w:i/>
          <w:lang w:val="en-US"/>
        </w:rPr>
        <w:t>e</w:t>
      </w:r>
      <w:r>
        <w:rPr>
          <w:lang w:val="en-US"/>
        </w:rPr>
        <w:t>) terhadap tekanan uap jenuh (</w:t>
      </w: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ascii="Cambria Math" w:hAnsi="Cambria Math"/>
              </w:rPr>
              <m:t>s</m:t>
            </m:r>
            <m:ctrlPr>
              <w:rPr>
                <w:rFonts w:ascii="Cambria Math" w:hAnsi="Cambria Math"/>
                <w:i/>
              </w:rPr>
            </m:ctrlPr>
          </m:sub>
        </m:sSub>
      </m:oMath>
      <w:r>
        <w:rPr>
          <w:lang w:val="en-US"/>
        </w:rPr>
        <w:t>) dalam persentase:</w:t>
      </w:r>
    </w:p>
    <w:p w14:paraId="22AC82D0">
      <w:pPr>
        <w:pStyle w:val="33"/>
        <w:spacing w:after="0"/>
        <w:ind w:left="1080"/>
      </w:pPr>
      <m:oMathPara>
        <m:oMath>
          <m:eqArr>
            <m:eqArrPr>
              <m:maxDist m:val="1"/>
              <m:ctrlPr>
                <w:rPr>
                  <w:rFonts w:ascii="Cambria Math" w:hAnsi="Cambria Math"/>
                  <w:i/>
                </w:rPr>
              </m:ctrlPr>
            </m:eqArrPr>
            <m:e>
              <m:r>
                <m:rPr/>
                <w:rPr>
                  <w:rFonts w:ascii="Cambria Math" w:hAnsi="Cambria Math"/>
                </w:rPr>
                <m:t xml:space="preserve">rh= </m:t>
              </m:r>
              <m:f>
                <m:fPr>
                  <m:ctrlPr>
                    <w:rPr>
                      <w:rFonts w:ascii="Cambria Math" w:hAnsi="Cambria Math"/>
                      <w:i/>
                    </w:rPr>
                  </m:ctrlPr>
                </m:fPr>
                <m:num>
                  <m:r>
                    <m:rPr/>
                    <w:rPr>
                      <w:rFonts w:ascii="Cambria Math" w:hAnsi="Cambria Math"/>
                    </w:rPr>
                    <m:t>e</m:t>
                  </m:r>
                  <m:ctrlPr>
                    <w:rPr>
                      <w:rFonts w:ascii="Cambria Math" w:hAnsi="Cambria Math"/>
                      <w:i/>
                    </w:rPr>
                  </m:ctrlPr>
                </m:num>
                <m:den>
                  <m:sSub>
                    <m:sSubPr>
                      <m:ctrlPr>
                        <w:rPr>
                          <w:rFonts w:ascii="Cambria Math" w:hAnsi="Cambria Math"/>
                          <w:i/>
                        </w:rPr>
                      </m:ctrlPr>
                    </m:sSubPr>
                    <m:e>
                      <m:r>
                        <m:rPr/>
                        <w:rPr>
                          <w:rFonts w:ascii="Cambria Math" w:hAnsi="Cambria Math"/>
                        </w:rPr>
                        <m:t>e</m:t>
                      </m:r>
                      <m:ctrlPr>
                        <w:rPr>
                          <w:rFonts w:ascii="Cambria Math" w:hAnsi="Cambria Math"/>
                          <w:i/>
                        </w:rPr>
                      </m:ctrlPr>
                    </m:e>
                    <m:sub>
                      <m:r>
                        <m:rPr/>
                        <w:rPr>
                          <w:rFonts w:ascii="Cambria Math" w:hAnsi="Cambria Math"/>
                        </w:rPr>
                        <m:t>s</m:t>
                      </m:r>
                      <m:ctrlPr>
                        <w:rPr>
                          <w:rFonts w:ascii="Cambria Math" w:hAnsi="Cambria Math"/>
                          <w:i/>
                        </w:rPr>
                      </m:ctrlPr>
                    </m:sub>
                  </m:sSub>
                  <m:ctrlPr>
                    <w:rPr>
                      <w:rFonts w:ascii="Cambria Math" w:hAnsi="Cambria Math"/>
                      <w:i/>
                    </w:rPr>
                  </m:ctrlPr>
                </m:den>
              </m:f>
              <m:r>
                <m:rPr/>
                <w:rPr>
                  <w:rFonts w:ascii="Cambria Math" w:hAnsi="Cambria Math"/>
                </w:rPr>
                <m:t xml:space="preserve"> ×100% #</m:t>
              </m:r>
              <m:d>
                <m:dPr>
                  <m:ctrlPr>
                    <w:rPr>
                      <w:rFonts w:ascii="Cambria Math" w:hAnsi="Cambria Math"/>
                      <w:i/>
                    </w:rPr>
                  </m:ctrlPr>
                </m:dPr>
                <m:e>
                  <m:r>
                    <m:rPr/>
                    <w:rPr>
                      <w:rFonts w:ascii="Cambria Math" w:hAnsi="Cambria Math"/>
                    </w:rPr>
                    <m:t>2.2</m:t>
                  </m:r>
                  <m:ctrlPr>
                    <w:rPr>
                      <w:rFonts w:ascii="Cambria Math" w:hAnsi="Cambria Math"/>
                      <w:i/>
                    </w:rPr>
                  </m:ctrlPr>
                </m:e>
              </m:d>
              <m:ctrlPr>
                <w:rPr>
                  <w:rFonts w:ascii="Cambria Math" w:hAnsi="Cambria Math"/>
                  <w:i/>
                </w:rPr>
              </m:ctrlPr>
            </m:e>
          </m:eqArr>
        </m:oMath>
      </m:oMathPara>
    </w:p>
    <w:p w14:paraId="4F232AA5">
      <w:pPr>
        <w:pStyle w:val="33"/>
        <w:spacing w:after="0"/>
        <w:ind w:left="1080" w:firstLine="621"/>
      </w:pPr>
      <w:r>
        <w:t xml:space="preserve">Melalui pendekatan Magnus-Tetens, nilai </w:t>
      </w:r>
      <w:r>
        <w:rPr>
          <w:i/>
          <w:lang w:val="en-US"/>
        </w:rPr>
        <w:t>e</w:t>
      </w:r>
      <w:r>
        <w:t xml:space="preserve"> ditentukan oleh suhu titik embun, sedangkan</w:t>
      </w:r>
      <w:r>
        <w:rPr>
          <w:lang w:val="en-US"/>
        </w:rPr>
        <w:t xml:space="preserve"> </w:t>
      </w: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ascii="Cambria Math" w:hAnsi="Cambria Math"/>
              </w:rPr>
              <m:t>s</m:t>
            </m:r>
            <m:ctrlPr>
              <w:rPr>
                <w:rFonts w:ascii="Cambria Math" w:hAnsi="Cambria Math"/>
                <w:i/>
              </w:rPr>
            </m:ctrlPr>
          </m:sub>
        </m:sSub>
      </m:oMath>
      <w:r>
        <w:t xml:space="preserve"> oleh suhu udara. Peningkatan suhu titik embun merefleksikan tingginya kandungan uap air absolut yang mendongkrak nilai </w:t>
      </w:r>
      <m:oMath>
        <m:r>
          <m:rPr/>
          <w:rPr>
            <w:rFonts w:ascii="Cambria Math" w:hAnsi="Cambria Math"/>
          </w:rPr>
          <m:t>e</m:t>
        </m:r>
      </m:oMath>
      <w:r>
        <w:t xml:space="preserve"> dan </w:t>
      </w:r>
      <w:r>
        <w:rPr>
          <w:i/>
        </w:rPr>
        <w:t>rh</w:t>
      </w:r>
      <w:r>
        <w:t xml:space="preserve">. Kondisi ini menandakan atmosfer yang lembap dan kondusif bagi pembentukan awan serta hujan </w:t>
      </w:r>
      <w:r>
        <w:fldChar w:fldCharType="begin" w:fldLock="1"/>
      </w:r>
      <w:r>
        <w:instrText xml:space="preserve">ADDIN CSL_CITATION {"citationItems":[{"id":"ITEM-1","itemData":{"DOI":"10.1175/1520-0450(1996)035&lt;0601:imfaos&gt;2.0.co;2","abstract":"This report was prepared as an account of work sponsored by an agency of the United States Government. Neither the United States Government nor any agency thereof, nor any of their employees, makes any warranty, express or implied, or assumes any legal liability or responsibility for the accuracy, completeness, or usefulness of any information, apparatus, product. or process disclosed, or represents that its use would not infringe privately owned rights. Reference herein to any specific commercial product, process, or service by trade name, trademark, manufacturer, or otherwise does not necessarily constitute or imply its endorsement, recornmendation, or favoring by the United States Government or any agency thereof. The views and opinions of authors expressed herein do not necessarily state or reflect those of the United States Government or any agency thereof.","author":[{"dropping-particle":"","family":"Alduchov","given":"Oleg A","non-dropping-particle":"","parse-names":false,"suffix":""},{"dropping-particle":"","family":"Eskridge","given":"Robert E","non-dropping-particle":"","parse-names":false,"suffix":""}],"container-title":"Journal of Applied Meteorology","id":"ITEM-1","issue":"4","issued":{"date-parts":[["1996"]]},"page":"601-609","title":"Improved Magnus Form Approximation of Saturation Vapor Pressure","type":"article-journal","volume":"35"},"uris":["http://www.mendeley.com/documents/?uuid=9a6d6648-a000-4197-81d8-0763872ca999"]}],"mendeley":{"formattedCitation":"(Alduchov dan Eskridge, 1996)","manualFormatting":"(Alduchov dan Eskridge, 1996)","plainTextFormattedCitation":"(Alduchov dan Eskridge, 1996)","previouslyFormattedCitation":"(Alduchov dan Eskridge, 1996)"},"properties":{"noteIndex":0},"schema":"https://github.com/citation-style-language/schema/raw/master/csl-citation.json"}</w:instrText>
      </w:r>
      <w:r>
        <w:fldChar w:fldCharType="separate"/>
      </w:r>
      <w:r>
        <w:t>(Alduchov dan Eskridge, 1996)</w:t>
      </w:r>
      <w:r>
        <w:fldChar w:fldCharType="end"/>
      </w:r>
      <w:r>
        <w:t>.</w:t>
      </w:r>
    </w:p>
    <w:p w14:paraId="1327E7EB">
      <w:pPr>
        <w:pStyle w:val="33"/>
        <w:numPr>
          <w:ilvl w:val="0"/>
          <w:numId w:val="16"/>
        </w:numPr>
        <w:spacing w:after="0"/>
      </w:pPr>
      <w:r>
        <w:t>Komponen Angin</w:t>
      </w:r>
    </w:p>
    <w:p w14:paraId="7CF8CC07">
      <w:pPr>
        <w:pStyle w:val="33"/>
        <w:spacing w:after="0"/>
        <w:ind w:left="1080" w:firstLine="621"/>
        <w:rPr>
          <w:lang w:val="en-US"/>
        </w:rPr>
      </w:pPr>
      <w:r>
        <w:t>Komponen angin horizontal pada ketinggian 10 m</w:t>
      </w:r>
      <w:r>
        <w:rPr>
          <w:lang w:val="en-US"/>
        </w:rPr>
        <w:t xml:space="preserve">eter </w:t>
      </w:r>
      <w:r>
        <w:t>berperan penting dalam proses</w:t>
      </w:r>
      <w:r>
        <w:rPr>
          <w:lang w:val="en-US"/>
        </w:rPr>
        <w:t xml:space="preserve"> terjadinya hujan</w:t>
      </w:r>
      <w:r>
        <w:t xml:space="preserve">. Angin membawa uap air dari sumber kelembapan seperti lautan menuju daratan, sehingga mampu meningkatkan proses presipitasi. Perubahan angin ini menjadi kunci dalam mengatur pasokan uap air dan distribusi hujan, terutama saat musim penghujan dan masa transisi </w:t>
      </w:r>
      <w:r>
        <w:fldChar w:fldCharType="begin" w:fldLock="1"/>
      </w:r>
      <w:r>
        <w:instrText xml:space="preserve">ADDIN CSL_CITATION {"citationItems":[{"id":"ITEM-1","itemData":{"DOI":"10.55041/ijsrem32427","author":[{"dropping-particle":"","family":"Jain","given":"Vishal","non-dropping-particle":"","parse-names":false,"suffix":""}],"container-title":"Interantional Journal of Scientific Research in Engineering and Management","id":"ITEM-1","issue":"05","issued":{"date-parts":[["2024"]]},"page":"1-5","title":"Performance Comparison of Various Machine Learning Models for Rainfall Prediction Using Wind Information","type":"article-journal","volume":"08"},"uris":["http://www.mendeley.com/documents/?uuid=ee7e4fdc-160e-48d8-9635-40958175f30c"]}],"mendeley":{"formattedCitation":"(Jain, 2024)","plainTextFormattedCitation":"(Jain, 2024)","previouslyFormattedCitation":"(Jain, 2024)"},"properties":{"noteIndex":0},"schema":"https://github.com/citation-style-language/schema/raw/master/csl-citation.json"}</w:instrText>
      </w:r>
      <w:r>
        <w:fldChar w:fldCharType="separate"/>
      </w:r>
      <w:r>
        <w:t>(Jain, 2024)</w:t>
      </w:r>
      <w:r>
        <w:fldChar w:fldCharType="end"/>
      </w:r>
      <w:r>
        <w:rPr>
          <w:lang w:val="en-US"/>
        </w:rPr>
        <w:t>.</w:t>
      </w:r>
    </w:p>
    <w:p w14:paraId="6FB82871">
      <w:pPr>
        <w:pStyle w:val="44"/>
      </w:pPr>
      <w:r>
        <w:t>e) Indeks Iklim Global dan Pengaruhnya di Indonesia</w:t>
      </w:r>
    </w:p>
    <w:p w14:paraId="06F479A8">
      <w:pPr>
        <w:pStyle w:val="33"/>
        <w:numPr>
          <w:ilvl w:val="0"/>
          <w:numId w:val="17"/>
        </w:numPr>
        <w:spacing w:after="0"/>
      </w:pPr>
      <w:r>
        <w:rPr>
          <w:i/>
        </w:rPr>
        <w:t>Madden-Julian Oscillation</w:t>
      </w:r>
      <w:r>
        <w:t xml:space="preserve"> (MJO)</w:t>
      </w:r>
    </w:p>
    <w:p w14:paraId="6BEBC638">
      <w:pPr>
        <w:pStyle w:val="33"/>
        <w:spacing w:after="0"/>
        <w:ind w:left="1080" w:firstLine="621"/>
        <w:rPr>
          <w:lang w:val="en-US"/>
        </w:rPr>
      </w:pPr>
      <w:r>
        <w:rPr>
          <w:lang w:val="en-US"/>
        </w:rPr>
        <w:t>MJO</w:t>
      </w:r>
      <w:r>
        <w:t xml:space="preserve"> adalah fenomena atmosfer tropis berupa pergerakan awan konvektif besar dari Samudra Hindia ke Pasifik (arah timur) setiap 30–60 hari</w:t>
      </w:r>
      <w:r>
        <w:rPr>
          <w:lang w:val="en-US"/>
        </w:rPr>
        <w:t xml:space="preserve">. </w:t>
      </w:r>
      <w:r>
        <w:t>Karena</w:t>
      </w:r>
      <w:r>
        <w:rPr>
          <w:lang w:val="en-US"/>
        </w:rPr>
        <w:t>nya</w:t>
      </w:r>
      <w:r>
        <w:t>, fenomena ini sangat menentukan pola hujan skala dasarian (3–6 dasarian) dan vital untuk prediksi cuaca jangka menengah</w:t>
      </w:r>
      <w:r>
        <w:rPr>
          <w:lang w:val="en-US"/>
        </w:rPr>
        <w:t xml:space="preserve">. </w:t>
      </w:r>
      <w:r>
        <w:t>Dampak MJO terhadap curah hujan Indonesia sangat bergantung pada posisinya. Fase 2–5 (Samudra Hindia) umumnya memicu peningkatan hujan, sementara fase 6–7 (Pasifik Barat) justru menekannya</w:t>
      </w:r>
      <w:r>
        <w:rPr>
          <w:lang w:val="en-US"/>
        </w:rPr>
        <w:t xml:space="preserve"> </w:t>
      </w:r>
      <w:r>
        <w:rPr>
          <w:lang w:val="en-US"/>
        </w:rPr>
        <w:fldChar w:fldCharType="begin" w:fldLock="1"/>
      </w:r>
      <w:r>
        <w:rPr>
          <w:lang w:val="en-US"/>
        </w:rPr>
        <w:instrText xml:space="preserve">ADDIN CSL_CITATION {"citationItems":[{"id":"ITEM-1","itemData":{"DOI":"10.20884/1.oa.2023.19.1.1057","abstract":"Madden Julian Oscillation (MJO) based on its propagation through the maritime continent can be divided into two types, namely MJO-C (Crossing) and MJO-B (Blocked) as evidenced by the spatial diagram of Hovmöller OLR anomaly. This study aimed to determine the effect of MJO variations, namely MJO-C and MJO-B on sea surface temperature and rainfall in the Indonesian region in the period of 1998 to 2015. The data used in this study are reanalysis models including sea surface temperature and rainfall with composite events (one month before propagation, during propagation, and one month after propagation of MJO-C and MJO-B). The results show that when MJO-C and MJO-B are active, sea surface temperature and the amount of rainfall are increased, especially in equatorial Indonesia and the southern hemisphere. When compared, MJO-C has a more significant impact than MJO-B.Keywords: MJO, Sea Surface Temperature, Precipitation","author":[{"dropping-particle":"","family":"Wana Paksi","given":"Lalu Mantigi","non-dropping-particle":"","parse-names":false,"suffix":""},{"dropping-particle":"","family":"Tubalawony","given":"Simon","non-dropping-particle":"","parse-names":false,"suffix":""},{"dropping-particle":"","family":"Waas","given":"Harold Joppie Davido","non-dropping-particle":"","parse-names":false,"suffix":""},{"dropping-particle":"","family":"Muthmainnah","given":"Karisma R","non-dropping-particle":"","parse-names":false,"suffix":""}],"container-title":"Omni-Akuatika","id":"ITEM-1","issue":"1","issued":{"date-parts":[["2023"]]},"page":"69","title":"The Impact of MJO-C and MJO-B Upon Sea Surface Temperature and Rainfall in Indonesia","type":"article-journal","volume":"19"},"uris":["http://www.mendeley.com/documents/?uuid=a1f03202-d938-4ad9-9018-8be72f4f976b"]}],"mendeley":{"formattedCitation":"(Wana Paksi dkk., 2023)","manualFormatting":"(Wana Paksi dkk., 2023)","plainTextFormattedCitation":"(Wana Paksi dkk., 2023)","previouslyFormattedCitation":"(Wana Paksi &lt;i&gt;et al.&lt;/i&gt;, 2023)"},"properties":{"noteIndex":0},"schema":"https://github.com/citation-style-language/schema/raw/master/csl-citation.json"}</w:instrText>
      </w:r>
      <w:r>
        <w:rPr>
          <w:lang w:val="en-US"/>
        </w:rPr>
        <w:fldChar w:fldCharType="separate"/>
      </w:r>
      <w:r>
        <w:rPr>
          <w:lang w:val="en-US"/>
        </w:rPr>
        <w:t>(Wana Paksi dkk., 2023)</w:t>
      </w:r>
      <w:r>
        <w:rPr>
          <w:lang w:val="en-US"/>
        </w:rPr>
        <w:fldChar w:fldCharType="end"/>
      </w:r>
      <w:r>
        <w:t>.</w:t>
      </w:r>
    </w:p>
    <w:p w14:paraId="4F204848">
      <w:pPr>
        <w:pStyle w:val="33"/>
        <w:numPr>
          <w:ilvl w:val="0"/>
          <w:numId w:val="17"/>
        </w:numPr>
        <w:spacing w:after="0"/>
      </w:pPr>
      <w:r>
        <w:t xml:space="preserve"> </w:t>
      </w:r>
      <w:r>
        <w:rPr>
          <w:i/>
        </w:rPr>
        <w:t>Quasi-Biennial Oscillation</w:t>
      </w:r>
      <w:r>
        <w:t xml:space="preserve"> (QBO) </w:t>
      </w:r>
    </w:p>
    <w:p w14:paraId="2481C867">
      <w:pPr>
        <w:pStyle w:val="33"/>
        <w:spacing w:after="0"/>
        <w:ind w:left="1080" w:firstLine="621"/>
      </w:pPr>
      <w:r>
        <w:rPr>
          <w:lang w:val="en-US"/>
        </w:rPr>
        <w:t>QBO</w:t>
      </w:r>
      <w:r>
        <w:t xml:space="preserve"> adalah siklus angin di stratosfer yang berganti arah antara timur dan barat setiap 28 bulan. Pengaruh QBO pada hujan terjadi lewat interaksinya dengan MJO. Fase Timur (QBO-E) biasanya memperkuat aktivitas MJO dan curah hujan, sementara fase Barat (QBO-W) justru meredamnya. Dinamika inilah yang turut menentukan variasi pola hujan, baik dalam skala musiman maupun tahunan </w:t>
      </w:r>
      <w:r>
        <w:fldChar w:fldCharType="begin" w:fldLock="1"/>
      </w:r>
      <w:r>
        <w:instrText xml:space="preserve">ADDIN CSL_CITATION {"citationItems":[{"id":"ITEM-1","itemData":{"DOI":"10.1175/jas-d-18-0179.1","abstract":"Abstract This study examines the relationship between the Madden–Julian oscillation (MJO) and the stratospheric quasi-biennial oscillation (QBO) in a limited-area cloud-resolving model with parameterized large-scale dynamics. The model is used to simulate two consecutive MJO events that occurred during the late fall and early winter of 2011. To test the influence of the QBO on the simulated MJO events, various QBO states are imposed via the addition of characteristic wind and temperature anomalies. In experiments with only QBO temperature anomalies imposed (without corresponding zonal wind anomalies) the strength of convection during MJO active phases is amplified for the QBO easterly phase [an anomalously cold tropical tropopause layer (TTL)] compared to the westerly QBO phase (a warm TTL), as measured by outgoing longwave radiation, cloud fraction, and large-scale ascent. This response is qualitatively consistent with the observed MJO–QBO relationship. The response of precipitation is weaker, and is less consistent across variations in the simulation configuration. Experiments with only imposed QBO wind anomalies (without corresponding temperature anomalies) show much weaker effects altogether than those with imposed temperature anomalies, suggesting that TTL temperature anomalies are a key pathway through which the QBO can modulate the MJO. Sensitivity tests indicate that the QBO influence on MJO convection depends on both the amplitude and the height of the QBO temperature anomaly: lower-altitude and larger-amplitude temperature anomalies have more pronounced effects on MJO convection.","author":[{"dropping-particle":"","family":"Martin","given":"Zane","non-dropping-particle":"","parse-names":false,"suffix":""},{"dropping-particle":"","family":"Wang","given":"Shuguang","non-dropping-particle":"","parse-names":false,"suffix":""},{"dropping-particle":"","family":"Nie","given":"Ji","non-dropping-particle":"","parse-names":false,"suffix":""},{"dropping-particle":"","family":"Sobel","given":"Adam","non-dropping-particle":"","parse-names":false,"suffix":""}],"container-title":"Journal of the Atmospheric Sciences","id":"ITEM-1","issue":"3","issued":{"date-parts":[["2019"]]},"page":"669-688","title":"The Impact of the QBO on MJO Convection in Cloud-Resolving Simulations","type":"article-journal","volume":"76"},"uris":["http://www.mendeley.com/documents/?uuid=860be226-52de-419a-812f-92d38d6fc85a"]}],"mendeley":{"formattedCitation":"(Martin dkk., 2019)","manualFormatting":"(Martin dkk., 2019)","plainTextFormattedCitation":"(Martin dkk., 2019)","previouslyFormattedCitation":"(Martin &lt;i&gt;et al.&lt;/i&gt;, 2019)"},"properties":{"noteIndex":0},"schema":"https://github.com/citation-style-language/schema/raw/master/csl-citation.json"}</w:instrText>
      </w:r>
      <w:r>
        <w:fldChar w:fldCharType="separate"/>
      </w:r>
      <w:r>
        <w:t>(Martin dkk., 2019)</w:t>
      </w:r>
      <w:r>
        <w:fldChar w:fldCharType="end"/>
      </w:r>
      <w:r>
        <w:t>.</w:t>
      </w:r>
    </w:p>
    <w:p w14:paraId="21F1CD85">
      <w:pPr>
        <w:pStyle w:val="33"/>
        <w:numPr>
          <w:ilvl w:val="0"/>
          <w:numId w:val="17"/>
        </w:numPr>
        <w:spacing w:after="0"/>
        <w:rPr>
          <w:lang w:val="en-US"/>
        </w:rPr>
      </w:pPr>
      <w:r>
        <w:rPr>
          <w:i/>
          <w:lang w:val="en-US"/>
        </w:rPr>
        <w:t>El Niño-</w:t>
      </w:r>
      <w:r>
        <w:rPr>
          <w:i/>
        </w:rPr>
        <w:t>Southern</w:t>
      </w:r>
      <w:r>
        <w:rPr>
          <w:i/>
          <w:lang w:val="en-US"/>
        </w:rPr>
        <w:t xml:space="preserve"> Oscillation</w:t>
      </w:r>
      <w:r>
        <w:rPr>
          <w:lang w:val="en-US"/>
        </w:rPr>
        <w:t xml:space="preserve"> (ENSO)</w:t>
      </w:r>
    </w:p>
    <w:p w14:paraId="54662056">
      <w:pPr>
        <w:pStyle w:val="33"/>
        <w:spacing w:after="0"/>
        <w:ind w:left="1080" w:firstLine="621"/>
        <w:rPr>
          <w:lang w:val="en-US"/>
        </w:rPr>
      </w:pPr>
      <w:r>
        <w:t xml:space="preserve">ENSO memiliki pengaruh yang besar terhadap iklim di Indonesia, terutama terhadap pola curah hujan dan suhu udara. Berbagai penelitian menunjukkan bahwa ENSO dapat memengaruhi variasi iklim musiman hingga antar-tahunan, termasuk perubahan waktu awal musim hujan serta terjadinya periode kekeringan. Kondisi ini sangat penting untuk diperhatikan karena berkaitan langsung dengan perencanaan dan pengelolaan kegiatan pertanian </w:t>
      </w:r>
      <w:r>
        <w:fldChar w:fldCharType="begin" w:fldLock="1"/>
      </w:r>
      <w:r>
        <w:instrText xml:space="preserve">ADDIN CSL_CITATION {"citationItems":[{"id":"ITEM-1","itemData":{"DOI":"10.1088/1755-1315/166/1/012030","ISSN":"1755-1315","abstract":"The research of season onset in Java is very important, considering Java is the center of agriculture in Indonesia. The onset of the rainy and drought season in Java are strongly influenced by global atmospheric phenomena, such as monsoon and El Nino Southern Oscillation (ENSO). This study used spatial analysis from previous researches focusing on insitu data. The data used in this current study based on the downscaling output of atmospheric model with ±15km spatial resolution. The result shows that the season onset deviation in Java Island exist when El Nino and La Nina occurred. When the El Nino (La Nina) occurred, the onset of drought season in Java has a tendency to come faster (slower) than neutral conditions. On the other hand, when El Nino (La Nina) occurs, the onset of rainy season in Java comes slower (faster) compared to the neutral condition. This is probably related to disturbance of monsoon in Indonesia when El Nino and La Nina occurred. The study also confirmed that the effects of El Nino and La Nina in the rainy season are stronger than in the dry season.","author":[{"dropping-particle":"","family":"Satyawardhana","given":"H","non-dropping-particle":"","parse-names":false,"suffix":""},{"dropping-particle":"","family":"Trismidianto","given":"","non-dropping-particle":"","parse-names":false,"suffix":""},{"dropping-particle":"","family":"Yulihastin","given":"E","non-dropping-particle":"","parse-names":false,"suffix":""}],"container-title":"IOP Conference Series: Earth and Environmental Science","id":"ITEM-1","issue":"1","issued":{"date-parts":[["2018"]]},"page":"12030","publisher":"IOP Publishing","title":"Influence of ENSO on Deviation of The Season Onset in Java Based on CCAM Downscaling Data","type":"article-journal","volume":"166"},"uris":["http://www.mendeley.com/documents/?uuid=c6021497-3303-4555-a84c-093bffd4c8a9"]}],"mendeley":{"formattedCitation":"(Satyawardhana dkk., 2018)","manualFormatting":"(Satyawardhana, Trismidianto dan Yulihastin, 2018)","plainTextFormattedCitation":"(Satyawardhana dkk., 2018)","previouslyFormattedCitation":"(Satyawardhana, Trismidianto dan Yulihastin, 2018)"},"properties":{"noteIndex":0},"schema":"https://github.com/citation-style-language/schema/raw/master/csl-citation.json"}</w:instrText>
      </w:r>
      <w:r>
        <w:fldChar w:fldCharType="separate"/>
      </w:r>
      <w:r>
        <w:t>(Satyawardhana, Trismidianto dan Yulihastin, 2018)</w:t>
      </w:r>
      <w:r>
        <w:fldChar w:fldCharType="end"/>
      </w:r>
      <w:r>
        <w:t>.</w:t>
      </w:r>
    </w:p>
    <w:p w14:paraId="6CF365D8">
      <w:pPr>
        <w:pStyle w:val="44"/>
      </w:pPr>
      <w:r>
        <w:t xml:space="preserve">f) Fitur Temporal dan </w:t>
      </w:r>
      <w:r>
        <w:rPr>
          <w:i/>
        </w:rPr>
        <w:t>Seasonal Patterns</w:t>
      </w:r>
    </w:p>
    <w:p w14:paraId="5097112B">
      <w:pPr>
        <w:pStyle w:val="33"/>
        <w:numPr>
          <w:ilvl w:val="0"/>
          <w:numId w:val="18"/>
        </w:numPr>
        <w:spacing w:after="0"/>
      </w:pPr>
      <w:r>
        <w:t>Fitur Musiman</w:t>
      </w:r>
    </w:p>
    <w:p w14:paraId="4E7A88A5">
      <w:pPr>
        <w:pStyle w:val="33"/>
        <w:spacing w:after="0"/>
        <w:ind w:left="1080" w:firstLine="621"/>
        <w:rPr>
          <w:lang w:val="en-US"/>
        </w:rPr>
      </w:pPr>
      <w:r>
        <w:rPr>
          <w:lang w:val="en-US"/>
        </w:rPr>
        <w:t>Metode yang umum untuk memahami pola musiman dipakai adalah transformasi sinusoidal, yang mengubah data waktu menjadi siklus periodik yang kontinu. Khusus untuk data dasarian, pola ini dihitung menggunakan dua fungsi trigonometri berikut:</w:t>
      </w:r>
    </w:p>
    <w:p w14:paraId="4DD8FC9B">
      <w:pPr>
        <w:pStyle w:val="33"/>
        <w:spacing w:after="0"/>
        <w:ind w:left="1080"/>
      </w:pPr>
      <m:oMathPara>
        <m:oMath>
          <m:eqArr>
            <m:eqArrPr>
              <m:maxDist m:val="1"/>
              <m:ctrlPr>
                <w:rPr>
                  <w:rFonts w:ascii="Cambria Math" w:hAnsi="Cambria Math"/>
                  <w:i/>
                </w:rPr>
              </m:ctrlPr>
            </m:eqArrPr>
            <m:e>
              <m:func>
                <m:funcPr>
                  <m:ctrlPr>
                    <w:rPr>
                      <w:rFonts w:ascii="Cambria Math" w:hAnsi="Cambria Math"/>
                      <w:i/>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m:rPr/>
                        <w:rPr>
                          <w:rFonts w:ascii="Cambria Math" w:hAnsi="Cambria Math"/>
                        </w:rPr>
                        <m:t xml:space="preserve">2π .  </m:t>
                      </m:r>
                      <m:f>
                        <m:fPr>
                          <m:ctrlPr>
                            <w:rPr>
                              <w:rFonts w:ascii="Cambria Math" w:hAnsi="Cambria Math"/>
                              <w:i/>
                            </w:rPr>
                          </m:ctrlPr>
                        </m:fPr>
                        <m:num>
                          <m:r>
                            <m:rPr/>
                            <w:rPr>
                              <w:rFonts w:ascii="Cambria Math" w:hAnsi="Cambria Math"/>
                            </w:rPr>
                            <m:t>dekad_index</m:t>
                          </m:r>
                          <m:ctrlPr>
                            <w:rPr>
                              <w:rFonts w:ascii="Cambria Math" w:hAnsi="Cambria Math"/>
                              <w:i/>
                            </w:rPr>
                          </m:ctrlPr>
                        </m:num>
                        <m:den>
                          <m:r>
                            <m:rPr/>
                            <w:rPr>
                              <w:rFonts w:ascii="Cambria Math" w:hAnsi="Cambria Math"/>
                            </w:rPr>
                            <m:t>36</m:t>
                          </m:r>
                          <m:ctrlPr>
                            <w:rPr>
                              <w:rFonts w:ascii="Cambria Math" w:hAnsi="Cambria Math"/>
                              <w:i/>
                            </w:rPr>
                          </m:ctrlPr>
                        </m:den>
                      </m:f>
                      <m:ctrlPr>
                        <w:rPr>
                          <w:rFonts w:ascii="Cambria Math" w:hAnsi="Cambria Math"/>
                          <w:i/>
                        </w:rPr>
                      </m:ctrlPr>
                    </m:e>
                  </m:d>
                  <m:r>
                    <m:rPr/>
                    <w:rPr>
                      <w:rFonts w:ascii="Cambria Math" w:hAnsi="Cambria Math"/>
                    </w:rPr>
                    <m:t xml:space="preserve">,   </m:t>
                  </m:r>
                  <m:ctrlPr>
                    <w:rPr>
                      <w:rFonts w:ascii="Cambria Math" w:hAnsi="Cambria Math"/>
                      <w:i/>
                    </w:rPr>
                  </m:ctrlPr>
                </m:e>
              </m:func>
              <m:func>
                <m:funcPr>
                  <m:ctrlPr>
                    <w:rPr>
                      <w:rFonts w:ascii="Cambria Math" w:hAnsi="Cambria Math"/>
                      <w:i/>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r>
                        <m:rPr/>
                        <w:rPr>
                          <w:rFonts w:ascii="Cambria Math" w:hAnsi="Cambria Math"/>
                        </w:rPr>
                        <m:t xml:space="preserve">2π . </m:t>
                      </m:r>
                      <m:f>
                        <m:fPr>
                          <m:ctrlPr>
                            <w:rPr>
                              <w:rFonts w:ascii="Cambria Math" w:hAnsi="Cambria Math"/>
                              <w:i/>
                            </w:rPr>
                          </m:ctrlPr>
                        </m:fPr>
                        <m:num>
                          <m:r>
                            <m:rPr/>
                            <w:rPr>
                              <w:rFonts w:ascii="Cambria Math" w:hAnsi="Cambria Math"/>
                            </w:rPr>
                            <m:t>dekad_index</m:t>
                          </m:r>
                          <m:ctrlPr>
                            <w:rPr>
                              <w:rFonts w:ascii="Cambria Math" w:hAnsi="Cambria Math"/>
                              <w:i/>
                            </w:rPr>
                          </m:ctrlPr>
                        </m:num>
                        <m:den>
                          <m:r>
                            <m:rPr/>
                            <w:rPr>
                              <w:rFonts w:ascii="Cambria Math" w:hAnsi="Cambria Math"/>
                            </w:rPr>
                            <m:t>36</m:t>
                          </m:r>
                          <m:ctrlPr>
                            <w:rPr>
                              <w:rFonts w:ascii="Cambria Math" w:hAnsi="Cambria Math"/>
                              <w:i/>
                            </w:rPr>
                          </m:ctrlPr>
                        </m:den>
                      </m:f>
                      <m:ctrlPr>
                        <w:rPr>
                          <w:rFonts w:ascii="Cambria Math" w:hAnsi="Cambria Math"/>
                          <w:i/>
                        </w:rPr>
                      </m:ctrlPr>
                    </m:e>
                  </m:d>
                  <m:ctrlPr>
                    <w:rPr>
                      <w:rFonts w:ascii="Cambria Math" w:hAnsi="Cambria Math"/>
                      <w:i/>
                    </w:rPr>
                  </m:ctrlPr>
                </m:e>
              </m:func>
              <m:r>
                <m:rPr/>
                <w:rPr>
                  <w:rFonts w:ascii="Cambria Math" w:hAnsi="Cambria Math"/>
                </w:rPr>
                <m:t xml:space="preserve"> #</m:t>
              </m:r>
              <m:d>
                <m:dPr>
                  <m:ctrlPr>
                    <w:rPr>
                      <w:rFonts w:ascii="Cambria Math" w:hAnsi="Cambria Math"/>
                      <w:i/>
                    </w:rPr>
                  </m:ctrlPr>
                </m:dPr>
                <m:e>
                  <m:r>
                    <m:rPr/>
                    <w:rPr>
                      <w:rFonts w:ascii="Cambria Math" w:hAnsi="Cambria Math"/>
                    </w:rPr>
                    <m:t>2.3</m:t>
                  </m:r>
                  <m:ctrlPr>
                    <w:rPr>
                      <w:rFonts w:ascii="Cambria Math" w:hAnsi="Cambria Math"/>
                      <w:i/>
                    </w:rPr>
                  </m:ctrlPr>
                </m:e>
              </m:d>
              <m:ctrlPr>
                <w:rPr>
                  <w:rFonts w:ascii="Cambria Math" w:hAnsi="Cambria Math"/>
                  <w:i/>
                </w:rPr>
              </m:ctrlPr>
            </m:e>
          </m:eqArr>
        </m:oMath>
      </m:oMathPara>
    </w:p>
    <w:p w14:paraId="185F97E9">
      <w:pPr>
        <w:pStyle w:val="33"/>
        <w:spacing w:after="0"/>
        <w:ind w:left="1080"/>
      </w:pPr>
      <w:r>
        <w:t xml:space="preserve">Variabel </w:t>
      </w:r>
      <w:r>
        <w:rPr>
          <w:i/>
        </w:rPr>
        <w:t xml:space="preserve">dekad_index </w:t>
      </w:r>
      <w:r>
        <w:t>menandai urutan dasarian dalam setahun (1–36). Metode ini sangat efektif karena menciptakan siklus yang mulus dan menyambung dari akhir kembali ke awal tahun, tanpa jeda.</w:t>
      </w:r>
      <w:r>
        <w:rPr>
          <w:lang w:val="en-US"/>
        </w:rPr>
        <w:t xml:space="preserve"> Di Indonesia</w:t>
      </w:r>
      <w:r>
        <w:t>, pendekatan ini memetakan fase musim</w:t>
      </w:r>
      <w:r>
        <w:rPr>
          <w:lang w:val="en-US"/>
        </w:rPr>
        <w:t xml:space="preserve"> (</w:t>
      </w:r>
      <w:r>
        <w:t>hujan, kemarau, dan pancaroba</w:t>
      </w:r>
      <w:r>
        <w:rPr>
          <w:lang w:val="en-US"/>
        </w:rPr>
        <w:t xml:space="preserve">) </w:t>
      </w:r>
      <w:r>
        <w:t xml:space="preserve">berdasarkan posisi kuadrannya. Ini memberikan </w:t>
      </w:r>
      <w:r>
        <w:rPr>
          <w:lang w:val="en-US"/>
        </w:rPr>
        <w:t>landasan</w:t>
      </w:r>
      <w:r>
        <w:t xml:space="preserve"> kuat untuk membaca pola musiman standar </w:t>
      </w:r>
      <w:r>
        <w:rPr>
          <w:lang w:val="en-US"/>
        </w:rPr>
        <w:t>dan</w:t>
      </w:r>
      <w:r>
        <w:t xml:space="preserve"> tetap peka terhadap variasi yang terjadi </w:t>
      </w:r>
      <w:r>
        <w:fldChar w:fldCharType="begin" w:fldLock="1"/>
      </w:r>
      <w:r>
        <w:instrText xml:space="preserve">ADDIN CSL_CITATION {"citationItems":[{"id":"ITEM-1","itemData":{"DOI":"10.3390/atmos15020187","abstract":"Several investigations have proven the existence of monsoons in Indonesia. However, this has received little attention due to the scientific argument that the region of 10° N–10° S is not monsoonal because it receives precipitation all year round. This study used space–time SVD analysis of atmospheric and oceanic field data for 30 years (1990–2020) to detect monsoon signals and related features. The single-field SVD analysis of rainfall revealed that the first mode accounts for only 33% of the total variance, suggesting it is highly variable. Both the PC space and time series show the well-known monsoon pattern. Further, the Indonesian monsoon regimes and phases are defined based on the revealed rainfall features. The wet season lasts from November to April, accounting for more than 77% of annual precipitation. The coupled-field SVD analyses show that Indonesian monsoon rainfall strongly correlates with local SST (PC1 accounts for 70.4%), and the pattern is associated with the Asian winter monsoon. The heterogonous vector correlation map analysis revealed that the related features during the monsoon, including the strengthening and weakening of subtropical anticyclones, the intertwining of westerly wind in the Indian Ocean, and variations in the north–south dipole structure of the ocean temperature, are linked to variations in Indonesia’s monsoon rainfall. This result can serve as the dynamic basis for defining the Indonesian monsoon index in the context of the center of action.","author":[{"dropping-particle":"","family":"Mulsandi","given":"Adi","non-dropping-particle":"","parse-names":false,"suffix":""},{"dropping-particle":"","family":"Koesmaryono","given":"Yonny","non-dropping-particle":"","parse-names":false,"suffix":""},{"dropping-particle":"","family":"Hidayat","given":"Rahmat","non-dropping-particle":"","parse-names":false,"suffix":""},{"dropping-particle":"","family":"Faqih","given":"Akhmad","non-dropping-particle":"","parse-names":false,"suffix":""},{"dropping-particle":"","family":"Sopaheluwakan","given":"Ardhasena","non-dropping-particle":"","parse-names":false,"suffix":""}],"container-title":"Atmosphere","id":"ITEM-1","issue":"2","issued":{"date-parts":[["2024"]]},"page":"187","title":"Detecting Indonesian Monsoon Signals and Related Features Using Space–Time Singular Value Decomposition (SVD)","type":"article-journal","volume":"15"},"uris":["http://www.mendeley.com/documents/?uuid=8d6d8be9-4e9d-4130-a806-601b4c45ff5d"]}],"mendeley":{"formattedCitation":"(Mulsandi dkk., 2024)","manualFormatting":"(Mulsandi dkk., 2024)","plainTextFormattedCitation":"(Mulsandi dkk., 2024)","previouslyFormattedCitation":"(Mulsandi &lt;i&gt;et al.&lt;/i&gt;, 2024)"},"properties":{"noteIndex":0},"schema":"https://github.com/citation-style-language/schema/raw/master/csl-citation.json"}</w:instrText>
      </w:r>
      <w:r>
        <w:fldChar w:fldCharType="separate"/>
      </w:r>
      <w:r>
        <w:t>(Mulsandi dkk., 2024)</w:t>
      </w:r>
      <w:r>
        <w:fldChar w:fldCharType="end"/>
      </w:r>
      <w:r>
        <w:rPr>
          <w:lang w:val="en-US"/>
        </w:rPr>
        <w:t>.</w:t>
      </w:r>
    </w:p>
    <w:p w14:paraId="265371B4">
      <w:pPr>
        <w:pStyle w:val="33"/>
        <w:numPr>
          <w:ilvl w:val="0"/>
          <w:numId w:val="19"/>
        </w:numPr>
        <w:spacing w:after="0"/>
      </w:pPr>
      <w:r>
        <w:t>Fitur Lag dan Autokorelasi Temporal</w:t>
      </w:r>
    </w:p>
    <w:p w14:paraId="6A3DD8BC">
      <w:pPr>
        <w:pStyle w:val="33"/>
        <w:spacing w:after="0"/>
        <w:ind w:left="1080" w:firstLine="621"/>
        <w:rPr>
          <w:lang w:val="en-US"/>
        </w:rPr>
      </w:pPr>
      <w:r>
        <w:t xml:space="preserve">Selain pola musiman, curah hujan juga menunjukkan ketergantungan temporal yang kuat, yang tercermin dalam sifat autokorelasi </w:t>
      </w:r>
      <w:r>
        <w:rPr>
          <w:i/>
        </w:rPr>
        <w:t>time series</w:t>
      </w:r>
      <w:r>
        <w:t>nya. Autokorelasi mengukur hubungan antara nilai curah hujan pada waktu tertentu dengan nilai pada waktu sebelumnya</w:t>
      </w:r>
      <w:r>
        <w:rPr>
          <w:lang w:val="en-US"/>
        </w:rPr>
        <w:t xml:space="preserve">. </w:t>
      </w:r>
      <w:r>
        <w:t xml:space="preserve">Autokorelasi hujan pada dasarnya menunjukkan bahwa atmosfer memiliki "memori". Karena proses alam seperti penumpukan uap air dan interaksi laut-udara berlangsung secara kontinu, kondisi cuaca saat ini otomatis akan memengaruhi apa yang terjadi selanjutnya </w:t>
      </w:r>
      <w:r>
        <w:fldChar w:fldCharType="begin" w:fldLock="1"/>
      </w:r>
      <w:r>
        <w:instrText xml:space="preserve">ADDIN CSL_CITATION {"citationItems":[{"id":"ITEM-1","itemData":{"DOI":"10.1002/joc.3639","abstract":" ABSTRACT:In part 1 of this study, Fenby and Gergis (Fenby C, Gergis J. 2012. A rainfall history of south-eastern Australia Part 1: comparing evidence from documentary and palaeoclimate records, 1788-1860. International Journal of Climatology) established a documentary chronology of droughts and wet years in south-eastern Australia (SEA) from first European settlement in 1788 until widespread meteorological observations begin in 1860. We now compare this newly developed documentary record to a five-station network of historical instrumental rainfall observations from the Sydney region for 1832-1859, and a 45-station rainfall network from a broader range of SEA locations over the 1860-2008 period. After assessing geographical biases in the documentary and instrumental record due to population settlement, we identify eastern New South Wales (NSW) as the subregion of SEA that is capable of providing a continuous record of wet and dry years back to 1788. Documentary, historical instrumental and modern rainfall observations are then combined to develop an eastern NSW drought and wet year index over the 1788-2008 period. The eastern NSW drought and wet year index is compared to palaeoclimate reconstructions of SEA rainfall and El Niño-Southern Oscillation (ENSO) since 1788. We investigate the relationship between droughts and wet years in eastern NSW and ENSO back to 1788, noting that the coastal NSW rainfall-ENSO relationship is not as pronounced as in inland areas of eastern Australia. While it is clear that ENSO influences rainfall variability in the broader SEA region, the signal recorded in coastal NSW is weak. This is most likely reflecting local orographic rainfall effects and deficiencies in the wet phase of the documentary record. Nonetheless, this study is the first of its kind in the Australasian region to combine documentary, early instrumental and modern meteorological rainfall observations using internationally comparable techniques, a significant advance in historical climatology for the region. The results of this study provide an opportunity for Australia to be included in cross-regional drought comparisons from the Indo-Pacific regions of the Southern Hemisphere.Additional Supporting information may be found in the online version of this article. ","author":[{"dropping-particle":"","family":"Gergis","given":"Joëlle","non-dropping-particle":"","parse-names":false,"suffix":""},{"dropping-particle":"","family":"Ashcroft","given":"Linden","non-dropping-particle":"","parse-names":false,"suffix":""}],"container-title":"International Journal of Climatology","id":"ITEM-1","issue":"14","issued":{"date-parts":[["2012"]]},"page":"2973-2987","title":"Rainfall Variations in South‐eastern Australia Part 2: A Comparison of Documentary, Early Instrumental and Palaeoclimate Records, 1788–2008","type":"article-journal","volume":"33"},"uris":["http://www.mendeley.com/documents/?uuid=7efc610f-f9cd-4ed4-b6cc-ed91764653f6"]},{"id":"ITEM-2","itemData":{"DOI":"10.1002/joc.4842","abstract":" ABSTRACT Previous studies suggest that climate change impacts significantly on the hydro‐climatic processes within the Ganges–Brahmaputra–Meghna (GBM) River Basin (RB). This study examines the observed climate characteristics and potential strengths and limitations of three global high‐resolution reanalyses and satellite remote‐sensing products over the GBM RB for period 1980–2013 by (1) estimating trends and interannual variations of precipitation and temperature, and (2) isolating precipitation variations likely associated with El Niño Southern Oscillation (ENSO) and Indian Ocean Dipole (IOD). The surface temperature trends show widespread warming across the basin with a maximum increase of 0.6 °C decade−1 over western Nepal and southern Tibet from 1980 to 2013. Rainfall changes from 1980 to 2013 indicate pronounced decline over high rainfall regions of northeast India, Bhutan, Nepal, and Bangladesh, especially from 1998 to 2013. Basin‐wide averaged trends show rainfall decline of up to 39 mm decade−1 in June–August in the Brahmaputra–Meghna RB from 1998 to 2013. Temperature variability based on Principal Component Analysis indicates that the first mode is associated with sea surface temperature (SST) warming in the Arabian Sea and the western tropical Pacific Ocean, while the second mode appears to be significantly correlated to SST anomalies in the western (eastern) tropical Indian (Pacific) Ocean. ENSO and IOD events are found to significantly influence rainfall variability contributing to about 10–20% (ENSO) and 8–10% (IOD) of the annual rainfall, mainly over  Bhutan, Nepal, Bangladesh, and north‐eastern India. Among the three reanalysis products: European Centre for Medium‐Range Weather Forecasts (ECMWF) retrospective analysis (ERA‐Interim), Modern‐Era Retrospective Analysis for Research and Applications (MERRA), and Climate Forecast System Reanalysis (CFSR), ERA‐Interim (and MERRA) agrees well with the observed precipitation (temperature) data sets while, CFSR shows the least skills in representing the spatio‐temporal variations of precipitation and temperature. ","author":[{"dropping-particle":"","family":"Khandu","given":"None","non-dropping-particle":"","parse-names":false,"suffix":""},{"dropping-particle":"","family":"Awange","given":"Joseph L","non-dropping-particle":"","parse-names":false,"suffix":""},{"dropping-particle":"","family":"Kuhn","given":"Michael","non-dropping-particle":"","parse-names":false,"suffix":""},{"dropping-particle":"","family":"Anyah","given":"Richard","non-dropping-particle":"","parse-names":false,"suffix":""},{"dropping-particle":"","family":"Forootan","given":"Ehsan","non-dropping-particle":"","parse-names":false,"suffix":""}],"container-title":"International Journal of Climatology","id":"ITEM-2","issue":"4","issued":{"date-parts":[["2016"]]},"page":"2141-2159","title":"Changes and Variability of Precipitation and Temperature in the Ganges–Brahmaputra–Meghna River Basin Based on Global High‐resolution Reanalyses","type":"article-journal","volume":"37"},"uris":["http://www.mendeley.com/documents/?uuid=68224a1a-45d7-4a75-b993-bc37bfd66bce"]}],"mendeley":{"formattedCitation":"(Gergis dan Ashcroft, 2012; Khandu dkk., 2016)","manualFormatting":"(Gergis dan Ashcroft, 2012; Khandu dkk., 2016)","plainTextFormattedCitation":"(Gergis dan Ashcroft, 2012; Khandu dkk., 2016)","previouslyFormattedCitation":"(Gergis dan Ashcroft, 2012; Khandu &lt;i&gt;et al.&lt;/i&gt;, 2016)"},"properties":{"noteIndex":0},"schema":"https://github.com/citation-style-language/schema/raw/master/csl-citation.json"}</w:instrText>
      </w:r>
      <w:r>
        <w:fldChar w:fldCharType="separate"/>
      </w:r>
      <w:r>
        <w:t>(Gergis dan Ashcroft, 2012; Khandu dkk., 2016)</w:t>
      </w:r>
      <w:r>
        <w:fldChar w:fldCharType="end"/>
      </w:r>
      <w:r>
        <w:rPr>
          <w:lang w:val="en-US"/>
        </w:rPr>
        <w:t>.</w:t>
      </w:r>
    </w:p>
    <w:p w14:paraId="61B09609">
      <w:pPr>
        <w:pStyle w:val="4"/>
      </w:pPr>
      <w:bookmarkStart w:id="37" w:name="_Toc236076732"/>
      <w:r>
        <w:t xml:space="preserve">2.2.7 </w:t>
      </w:r>
      <w:r>
        <w:rPr>
          <w:lang w:val="en-US"/>
        </w:rPr>
        <w:t xml:space="preserve">Metrik </w:t>
      </w:r>
      <w:r>
        <w:t xml:space="preserve">Fungsi </w:t>
      </w:r>
      <w:r>
        <w:rPr>
          <w:i/>
        </w:rPr>
        <w:t>Benchmark</w:t>
      </w:r>
      <w:r>
        <w:t xml:space="preserve"> untuk Evaluasi Algoritma</w:t>
      </w:r>
      <w:bookmarkEnd w:id="37"/>
    </w:p>
    <w:p w14:paraId="4E78CD22">
      <w:pPr>
        <w:ind w:firstLine="720"/>
        <w:rPr>
          <w:rFonts w:cs="Times New Roman"/>
          <w:lang w:val="en-US"/>
        </w:rPr>
      </w:pPr>
      <w:r>
        <w:t>Validasi kinerja algoritma metaheuristik yang terinspirasi dari alam (</w:t>
      </w:r>
      <w:r>
        <w:rPr>
          <w:i/>
          <w:iCs/>
        </w:rPr>
        <w:t>nature-inspired metaheuristics</w:t>
      </w:r>
      <w:r>
        <w:t xml:space="preserve">) memerlukan penggunaan fungsi </w:t>
      </w:r>
      <w:r>
        <w:rPr>
          <w:i/>
        </w:rPr>
        <w:t>benchmark</w:t>
      </w:r>
      <w:r>
        <w:t xml:space="preserve"> standar yang telah diakui secara luas. Penggunaan fungsi standar ini krusial untuk menciptakan lanskap pengujian yang terkontrol guna mendiagnosis mode kegagalan utama algoritma, seperti terjebak pada optimum lokal, konvergensi prematur, serta ketidakstabilan konvergensi, sekaligus memungkinkan komparabilitas hasil antar penelitian yang berbeda </w:t>
      </w:r>
      <w:r>
        <w:fldChar w:fldCharType="begin" w:fldLock="1"/>
      </w:r>
      <w:r>
        <w:instrText xml:space="preserve">ADDIN CSL_CITATION {"citationItems":[{"id":"ITEM-1","itemData":{"DOI":"10.1016/C2013-0-01368-0","ISBN":"9780124167438","abstract":"Nature-Inspired Optimization Algorithms provides a systematic introduction to all major nature-inspired algorithms for optimization. The book's unified approach, balancing algorithm introduction, theoretical background and practical implementation, complements extensive literature with well-chosen case studies to illustrate how these algorithms work. Topics include particle swarm optimization, ant and bee algorithms, simulated annealing, cuckoo search, firefly algorithm, bat algorithm, flower algorithm, harmony search, algorithm analysis, constraint handling, hybrid methods, parameter tuning and control, as well as multi-objective optimization. This book can serve as an introductory book for graduates, doctoral students and lecturers in computer science, engineering and natural sciences. It can also serve a source of inspiration for new applications. Researchers and engineers as well as experienced experts will also find it a handy reference. © 2014 Elsevier Inc. All rights reserved.","author":[{"dropping-particle":"","family":"Yang","given":"Xin She","non-dropping-particle":"","parse-names":false,"suffix":""}],"container-title":"Nature-Inspired Optimization Algorithms","id":"ITEM-1","issued":{"date-parts":[["2014"]]},"number-of-pages":"1-263","publisher":"Elsevier Inc.","title":"Nature-Inspired Optimization Algorithms","type":"book"},"uris":["http://www.mendeley.com/documents/?uuid=b0e14c11-4df5-3679-b418-3960499b1d0b"]},{"id":"ITEM-2","itemData":{"DOI":"10.3390/e23121637","author":[{"dropping-particle":"","family":"Nadimi-Shahraki","given":"Mohammad H","non-dropping-particle":"","parse-names":false,"suffix":""},{"dropping-particle":"","family":"Fatahi","given":"Ali","non-dropping-particle":"","parse-names":false,"suffix":""},{"dropping-particle":"","family":"Zamani","given":"Hoda","non-dropping-particle":"","parse-names":false,"suffix":""},{"dropping-particle":"","family":"Mirjalili","given":"Seyedali","non-dropping-particle":"","parse-names":false,"suffix":""},{"dropping-particle":"","family":"Abualigah","given":"Laith","non-dropping-particle":"","parse-names":false,"suffix":""}],"container-title":"Entropy","id":"ITEM-2","issue":"12","issued":{"date-parts":[["2021"]]},"page":"1637","title":"An Improved Moth-Flame Optimization Algorithm With Adaptation Mechanism to Solve Numerical and Mechanical Engineering Problems","type":"article-journal","volume":"23"},"uris":["http://www.mendeley.com/documents/?uuid=19a3de8f-d862-475c-bc82-b583aa77e3be"]}],"mendeley":{"formattedCitation":"(Nadimi-Shahraki dkk., 2021; Yang, 2014)","manualFormatting":"(Yang, 2014; Nadimi-Shahraki dkk., 2021)","plainTextFormattedCitation":"(Nadimi-Shahraki dkk., 2021; Yang, 2014)","previouslyFormattedCitation":"(Yang, 2014; Nadimi-Shahraki &lt;i&gt;et al.&lt;/i&gt;, 2021)"},"properties":{"noteIndex":0},"schema":"https://github.com/citation-style-language/schema/raw/master/csl-citation.json"}</w:instrText>
      </w:r>
      <w:r>
        <w:fldChar w:fldCharType="separate"/>
      </w:r>
      <w:r>
        <w:t xml:space="preserve">(Yang, 2014; Nadimi-Shahraki </w:t>
      </w:r>
      <w:r>
        <w:rPr>
          <w:lang w:val="en-US"/>
        </w:rPr>
        <w:t>dkk</w:t>
      </w:r>
      <w:r>
        <w:rPr>
          <w:i/>
        </w:rPr>
        <w:t>.</w:t>
      </w:r>
      <w:r>
        <w:t>, 2021)</w:t>
      </w:r>
      <w:r>
        <w:fldChar w:fldCharType="end"/>
      </w:r>
      <w:r>
        <w:rPr>
          <w:lang w:val="en-US"/>
        </w:rPr>
        <w:t>.</w:t>
      </w:r>
    </w:p>
    <w:p w14:paraId="0B62607B">
      <w:pPr>
        <w:ind w:firstLine="720"/>
        <w:rPr>
          <w:lang w:val="en-US"/>
        </w:rPr>
      </w:pPr>
      <w:r>
        <w:rPr>
          <w:lang w:val="en-US"/>
        </w:rPr>
        <w:t>T</w:t>
      </w:r>
      <w:r>
        <w:t xml:space="preserve">eorema </w:t>
      </w:r>
      <w:r>
        <w:rPr>
          <w:i/>
          <w:iCs/>
        </w:rPr>
        <w:t>No Free Lunch</w:t>
      </w:r>
      <w:r>
        <w:t xml:space="preserve"> menyatakan bahwa tidak ada satu pun metaheuristik </w:t>
      </w:r>
      <w:r>
        <w:rPr>
          <w:lang w:val="en-US"/>
        </w:rPr>
        <w:t xml:space="preserve">maupun algoritma </w:t>
      </w:r>
      <w:r>
        <w:t xml:space="preserve">yang unggul secara universal di seluruh masalah, evaluasi harus dilakukan melintasi lanskap pengujian yang beragam </w:t>
      </w:r>
      <w:r>
        <w:fldChar w:fldCharType="begin" w:fldLock="1"/>
      </w:r>
      <w:r>
        <w:instrText xml:space="preserve">ADDIN CSL_CITATION {"citationItems":[{"id":"ITEM-1","itemData":{"DOI":"10.1109/4235.585893","ISSN":"1941-0026 VO  - 1","author":[{"dropping-particle":"","family":"Wolpert","given":"D H","non-dropping-particle":"","parse-names":false,"suffix":""},{"dropping-particle":"","family":"Macready","given":"W G","non-dropping-particle":"","parse-names":false,"suffix":""}],"container-title":"IEEE Transactions on Evolutionary Computation","id":"ITEM-1","issue":"1","issued":{"date-parts":[["1997"]]},"page":"67-82","title":"No free lunch theorems for optimization","type":"article-journal","volume":"1"},"uris":["http://www.mendeley.com/documents/?uuid=24bdd8aa-8219-4c40-bbda-217b407e508e"]}],"mendeley":{"formattedCitation":"(Wolpert dan Macready, 1997)","plainTextFormattedCitation":"(Wolpert dan Macready, 1997)","previouslyFormattedCitation":"(Wolpert dan Macready, 1997)"},"properties":{"noteIndex":0},"schema":"https://github.com/citation-style-language/schema/raw/master/csl-citation.json"}</w:instrText>
      </w:r>
      <w:r>
        <w:fldChar w:fldCharType="separate"/>
      </w:r>
      <w:r>
        <w:t>(Wolpert dan Macready, 1997)</w:t>
      </w:r>
      <w:r>
        <w:fldChar w:fldCharType="end"/>
      </w:r>
      <w:r>
        <w:t xml:space="preserve">. Oleh karena itu, penelitian ini mengadopsi kombinasi fungsi </w:t>
      </w:r>
      <w:r>
        <w:rPr>
          <w:bCs/>
        </w:rPr>
        <w:t>multimodal</w:t>
      </w:r>
      <w:r>
        <w:t xml:space="preserve"> (</w:t>
      </w:r>
      <w:r>
        <w:rPr>
          <w:i/>
        </w:rPr>
        <w:t>Ackley</w:t>
      </w:r>
      <w:r>
        <w:t xml:space="preserve"> dan </w:t>
      </w:r>
      <w:r>
        <w:rPr>
          <w:i/>
        </w:rPr>
        <w:t>Rastrigin</w:t>
      </w:r>
      <w:r>
        <w:t xml:space="preserve">) dan </w:t>
      </w:r>
      <w:r>
        <w:rPr>
          <w:bCs/>
        </w:rPr>
        <w:t>unimodal</w:t>
      </w:r>
      <w:r>
        <w:t xml:space="preserve"> (</w:t>
      </w:r>
      <w:r>
        <w:rPr>
          <w:i/>
        </w:rPr>
        <w:t>Rosenbrock</w:t>
      </w:r>
      <w:r>
        <w:t xml:space="preserve">) untuk menilai keseimbangan </w:t>
      </w:r>
      <w:r>
        <w:rPr>
          <w:i/>
          <w:iCs/>
        </w:rPr>
        <w:t>trade-off</w:t>
      </w:r>
      <w:r>
        <w:t xml:space="preserve"> antara kemampuan eksplorasi (pencarian global) dan eksploitasi (penghalusan lokal) dari algoritma yang diusulkan </w:t>
      </w:r>
      <w:r>
        <w:fldChar w:fldCharType="begin" w:fldLock="1"/>
      </w:r>
      <w:r>
        <w:instrText xml:space="preserve">ADDIN CSL_CITATION {"citationItems":[{"id":"ITEM-1","itemData":{"DOI":"10.1111/coin.12140","author":[{"dropping-particle":"","family":"Assad","given":"Assif","non-dropping-particle":"","parse-names":false,"suffix":""},{"dropping-particle":"","family":"Deep","given":"Kusum","non-dropping-particle":"","parse-names":false,"suffix":""}],"container-title":"Computational Intelligence","id":"ITEM-1","issue":"4","issued":{"date-parts":[["2017"]]},"page":"1038-1075","title":"A Two‐phase Harmony Search Algorithm for Continuous Optimization","type":"article-journal","volume":"33"},"uris":["http://www.mendeley.com/documents/?uuid=a508c6b0-c71a-46e1-9079-f3456047c782"]}],"mendeley":{"formattedCitation":"(Assad dan Deep, 2017)","manualFormatting":"(Assad dan Deep, 2017)","plainTextFormattedCitation":"(Assad dan Deep, 2017)","previouslyFormattedCitation":"(Assad dan Deep, 2017)"},"properties":{"noteIndex":0},"schema":"https://github.com/citation-style-language/schema/raw/master/csl-citation.json"}</w:instrText>
      </w:r>
      <w:r>
        <w:fldChar w:fldCharType="separate"/>
      </w:r>
      <w:r>
        <w:t>(Assad dan Deep, 2017)</w:t>
      </w:r>
      <w:r>
        <w:fldChar w:fldCharType="end"/>
      </w:r>
      <w:r>
        <w:rPr>
          <w:lang w:val="en-US"/>
        </w:rPr>
        <w:t>.</w:t>
      </w:r>
    </w:p>
    <w:p w14:paraId="581BFAF7">
      <w:pPr>
        <w:pStyle w:val="44"/>
      </w:pPr>
      <w:r>
        <w:t xml:space="preserve">a) Fungsi </w:t>
      </w:r>
      <w:r>
        <w:rPr>
          <w:i/>
        </w:rPr>
        <w:t>Ackley</w:t>
      </w:r>
    </w:p>
    <w:p w14:paraId="4477BCFB">
      <w:pPr>
        <w:spacing w:after="0"/>
        <w:ind w:left="284" w:firstLine="720"/>
      </w:pPr>
      <w:r>
        <w:t xml:space="preserve">Fungsi </w:t>
      </w:r>
      <w:r>
        <w:rPr>
          <w:i/>
        </w:rPr>
        <w:t>Ackley</w:t>
      </w:r>
      <w:r>
        <w:t xml:space="preserve"> merupakan representasi masalah multimodal yang kompleks. Lanskap fungsi ini memiliki sebuah cekungan global yang dalam di tengah, namun dikelilingi oleh area luar yang relatif datar dan dipenuhi oleh banyak </w:t>
      </w:r>
      <w:r>
        <w:rPr>
          <w:i/>
          <w:iCs/>
        </w:rPr>
        <w:t>local optima</w:t>
      </w:r>
      <w:r>
        <w:t xml:space="preserve">. Karakteristik ini dirancang khusus untuk menguji kemampuan </w:t>
      </w:r>
      <w:r>
        <w:rPr>
          <w:bCs/>
        </w:rPr>
        <w:t>eksplorasi global</w:t>
      </w:r>
      <w:r>
        <w:t xml:space="preserve"> algoritma dan kemampuannya untuk melepaskan diri dari jebakan lokal (</w:t>
      </w:r>
      <w:r>
        <w:rPr>
          <w:i/>
          <w:iCs/>
        </w:rPr>
        <w:t>escape local traps</w:t>
      </w:r>
      <w:r>
        <w:t xml:space="preserve">) menuju area global </w:t>
      </w:r>
      <w:r>
        <w:fldChar w:fldCharType="begin" w:fldLock="1"/>
      </w:r>
      <w:r>
        <w:instrText xml:space="preserve">ADDIN CSL_CITATION {"citationItems":[{"id":"ITEM-1","itemData":{"DOI":"10.1109/access.2022.3197745","author":[{"dropping-particle":"","family":"Trojovská","given":"Eva","non-dropping-particle":"","parse-names":false,"suffix":""},{"dropping-particle":"","family":"Dehghani","given":"Mohammad","non-dropping-particle":"","parse-names":false,"suffix":""},{"dropping-particle":"","family":"Trojovský","given":"Pavel","non-dropping-particle":"","parse-names":false,"suffix":""}],"container-title":"Ieee Access","id":"ITEM-1","issued":{"date-parts":[["2022"]]},"page":"84417-84443","title":"Fennec Fox Optimization: A New Nature-Inspired Optimization Algorithm","type":"article-journal","volume":"10"},"uris":["http://www.mendeley.com/documents/?uuid=b1d54448-e352-4faa-a5ef-c055f8d79e1c"]}],"mendeley":{"formattedCitation":"(Trojovská dkk., 2022)","plainTextFormattedCitation":"(Trojovská dkk., 2022)","previouslyFormattedCitation":"(Trojovská, Dehghani dan Trojovský, 2022)"},"properties":{"noteIndex":0},"schema":"https://github.com/citation-style-language/schema/raw/master/csl-citation.json"}</w:instrText>
      </w:r>
      <w:r>
        <w:fldChar w:fldCharType="separate"/>
      </w:r>
      <w:r>
        <w:t>(Trojovská dkk., 2022)</w:t>
      </w:r>
      <w:r>
        <w:fldChar w:fldCharType="end"/>
      </w:r>
      <w:r>
        <w:rPr>
          <w:lang w:val="en-US"/>
        </w:rPr>
        <w:t xml:space="preserve">. </w:t>
      </w:r>
      <w:r>
        <w:t>Rumus matematis fungsi Ackley didefinisikan sebagai berikut:</w:t>
      </w:r>
    </w:p>
    <w:p w14:paraId="4099CE90">
      <w:pPr>
        <w:spacing w:after="0"/>
        <w:ind w:left="284" w:firstLine="720"/>
        <w:rPr>
          <w:lang w:val="en-US"/>
        </w:rPr>
      </w:pPr>
      <m:oMathPara>
        <m:oMath>
          <m:eqArr>
            <m:eqArrPr>
              <m:maxDist m:val="1"/>
              <m:ctrlPr>
                <w:rPr>
                  <w:rFonts w:ascii="Cambria Math" w:hAnsi="Cambria Math"/>
                  <w:i/>
                  <w:lang w:val="en-US"/>
                </w:rPr>
              </m:ctrlPr>
            </m:eqArrPr>
            <m:e>
              <m:r>
                <m:rPr/>
                <w:rPr>
                  <w:rFonts w:ascii="Cambria Math" w:hAnsi="Cambria Math"/>
                  <w:lang w:val="en-US"/>
                </w:rPr>
                <m:t>f</m:t>
              </m:r>
              <m:d>
                <m:dPr>
                  <m:ctrlPr>
                    <w:rPr>
                      <w:rFonts w:ascii="Cambria Math" w:hAnsi="Cambria Math"/>
                      <w:i/>
                      <w:lang w:val="en-US"/>
                    </w:rPr>
                  </m:ctrlPr>
                </m:dPr>
                <m:e>
                  <m:r>
                    <m:rPr/>
                    <w:rPr>
                      <w:rFonts w:ascii="Cambria Math" w:hAnsi="Cambria Math"/>
                      <w:lang w:val="en-US"/>
                    </w:rPr>
                    <m:t>x</m:t>
                  </m:r>
                  <m:ctrlPr>
                    <w:rPr>
                      <w:rFonts w:ascii="Cambria Math" w:hAnsi="Cambria Math"/>
                      <w:i/>
                      <w:lang w:val="en-US"/>
                    </w:rPr>
                  </m:ctrlPr>
                </m:e>
              </m:d>
              <m:r>
                <m:rPr/>
                <w:rPr>
                  <w:rFonts w:ascii="Cambria Math" w:hAnsi="Cambria Math"/>
                  <w:lang w:val="en-US"/>
                </w:rPr>
                <m:t>=−20</m:t>
              </m:r>
              <m:func>
                <m:funcPr>
                  <m:ctrlPr>
                    <w:rPr>
                      <w:rFonts w:ascii="Cambria Math" w:hAnsi="Cambria Math"/>
                      <w:lang w:val="en-US"/>
                    </w:rPr>
                  </m:ctrlPr>
                </m:funcPr>
                <m:fName>
                  <m:r>
                    <m:rPr>
                      <m:sty m:val="p"/>
                    </m:rPr>
                    <w:rPr>
                      <w:rFonts w:ascii="Cambria Math" w:hAnsi="Cambria Math"/>
                      <w:lang w:val="en-US"/>
                    </w:rPr>
                    <m:t>exp</m:t>
                  </m:r>
                  <m:ctrlPr>
                    <w:rPr>
                      <w:rFonts w:ascii="Cambria Math" w:hAnsi="Cambria Math"/>
                      <w:i/>
                      <w:lang w:val="en-US"/>
                    </w:rPr>
                  </m:ctrlPr>
                </m:fName>
                <m:e>
                  <m:d>
                    <m:dPr>
                      <m:ctrlPr>
                        <w:rPr>
                          <w:rFonts w:ascii="Cambria Math" w:hAnsi="Cambria Math"/>
                          <w:lang w:val="en-US"/>
                        </w:rPr>
                      </m:ctrlPr>
                    </m:dPr>
                    <m:e>
                      <m:r>
                        <m:rPr/>
                        <w:rPr>
                          <w:rFonts w:ascii="Cambria Math" w:hAnsi="Cambria Math"/>
                          <w:lang w:val="en-US"/>
                        </w:rPr>
                        <m:t>−0.2</m:t>
                      </m:r>
                      <m:rad>
                        <m:radPr>
                          <m:degHide m:val="1"/>
                          <m:ctrlPr>
                            <w:rPr>
                              <w:rFonts w:ascii="Cambria Math" w:hAnsi="Cambria Math"/>
                              <w:lang w:val="en-US"/>
                            </w:rPr>
                          </m:ctrlPr>
                        </m:radPr>
                        <m:deg>
                          <m:ctrlPr>
                            <w:rPr>
                              <w:rFonts w:ascii="Cambria Math" w:hAnsi="Cambria Math"/>
                              <w:i/>
                              <w:lang w:val="en-US"/>
                            </w:rPr>
                          </m:ctrlPr>
                        </m:deg>
                        <m:e>
                          <m:f>
                            <m:fPr>
                              <m:ctrlPr>
                                <w:rPr>
                                  <w:rFonts w:ascii="Cambria Math" w:hAnsi="Cambria Math"/>
                                  <w:lang w:val="en-US"/>
                                </w:rPr>
                              </m:ctrlPr>
                            </m:fPr>
                            <m:num>
                              <m:r>
                                <m:rPr/>
                                <w:rPr>
                                  <w:rFonts w:ascii="Cambria Math" w:hAnsi="Cambria Math"/>
                                  <w:lang w:val="en-US"/>
                                </w:rPr>
                                <m:t>1</m:t>
                              </m:r>
                              <m:ctrlPr>
                                <w:rPr>
                                  <w:rFonts w:ascii="Cambria Math" w:hAnsi="Cambria Math"/>
                                  <w:i/>
                                  <w:lang w:val="en-US"/>
                                </w:rPr>
                              </m:ctrlPr>
                            </m:num>
                            <m:den>
                              <m:r>
                                <m:rPr/>
                                <w:rPr>
                                  <w:rFonts w:ascii="Cambria Math" w:hAnsi="Cambria Math"/>
                                  <w:lang w:val="en-US"/>
                                </w:rPr>
                                <m:t>d</m:t>
                              </m:r>
                              <m:ctrlPr>
                                <w:rPr>
                                  <w:rFonts w:ascii="Cambria Math" w:hAnsi="Cambria Math"/>
                                  <w:i/>
                                  <w:lang w:val="en-US"/>
                                </w:rPr>
                              </m:ctrlPr>
                            </m:den>
                          </m:f>
                          <m:nary>
                            <m:naryPr>
                              <m:chr m:val="∑"/>
                              <m:ctrlPr>
                                <w:rPr>
                                  <w:rFonts w:ascii="Cambria Math" w:hAnsi="Cambria Math"/>
                                  <w:lang w:val="en-US"/>
                                </w:rPr>
                              </m:ctrlPr>
                            </m:naryPr>
                            <m:sub>
                              <m:r>
                                <m:rPr/>
                                <w:rPr>
                                  <w:rFonts w:ascii="Cambria Math" w:hAnsi="Cambria Math"/>
                                  <w:lang w:val="en-US"/>
                                </w:rPr>
                                <m:t>i=1</m:t>
                              </m:r>
                              <m:ctrlPr>
                                <w:rPr>
                                  <w:rFonts w:ascii="Cambria Math" w:hAnsi="Cambria Math"/>
                                  <w:i/>
                                  <w:lang w:val="en-US"/>
                                </w:rPr>
                              </m:ctrlPr>
                            </m:sub>
                            <m:sup>
                              <m:r>
                                <m:rPr/>
                                <w:rPr>
                                  <w:rFonts w:ascii="Cambria Math" w:hAnsi="Cambria Math"/>
                                  <w:lang w:val="en-US"/>
                                </w:rPr>
                                <m:t>d</m:t>
                              </m:r>
                              <m:ctrlPr>
                                <w:rPr>
                                  <w:rFonts w:ascii="Cambria Math" w:hAnsi="Cambria Math"/>
                                  <w:i/>
                                  <w:lang w:val="en-US"/>
                                </w:rPr>
                              </m:ctrlPr>
                            </m:sup>
                            <m:e>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2</m:t>
                                  </m:r>
                                  <m:ctrlPr>
                                    <w:rPr>
                                      <w:rFonts w:ascii="Cambria Math" w:hAnsi="Cambria Math"/>
                                      <w:i/>
                                      <w:lang w:val="en-US"/>
                                    </w:rPr>
                                  </m:ctrlPr>
                                </m:sup>
                              </m:sSubSup>
                              <m:ctrlPr>
                                <w:rPr>
                                  <w:rFonts w:ascii="Cambria Math" w:hAnsi="Cambria Math"/>
                                  <w:i/>
                                  <w:lang w:val="en-US"/>
                                </w:rPr>
                              </m:ctrlPr>
                            </m:e>
                          </m:nary>
                          <m:ctrlPr>
                            <w:rPr>
                              <w:rFonts w:ascii="Cambria Math" w:hAnsi="Cambria Math"/>
                              <w:lang w:val="en-US"/>
                            </w:rPr>
                          </m:ctrlPr>
                        </m:e>
                      </m:rad>
                      <m:ctrlPr>
                        <w:rPr>
                          <w:rFonts w:ascii="Cambria Math" w:hAnsi="Cambria Math"/>
                          <w:i/>
                          <w:lang w:val="en-US"/>
                        </w:rPr>
                      </m:ctrlPr>
                    </m:e>
                  </m:d>
                  <m:ctrlPr>
                    <w:rPr>
                      <w:rFonts w:ascii="Cambria Math" w:hAnsi="Cambria Math"/>
                      <w:lang w:val="en-US"/>
                    </w:rPr>
                  </m:ctrlPr>
                </m:e>
              </m:func>
              <m:r>
                <m:rPr/>
                <w:rPr>
                  <w:rFonts w:ascii="Cambria Math" w:hAnsi="Cambria Math"/>
                  <w:lang w:val="en-US"/>
                </w:rPr>
                <m:t>−</m:t>
              </m:r>
              <m:func>
                <m:funcPr>
                  <m:ctrlPr>
                    <w:rPr>
                      <w:rFonts w:ascii="Cambria Math" w:hAnsi="Cambria Math"/>
                      <w:lang w:val="en-US"/>
                    </w:rPr>
                  </m:ctrlPr>
                </m:funcPr>
                <m:fName>
                  <m:r>
                    <m:rPr>
                      <m:sty m:val="p"/>
                    </m:rPr>
                    <w:rPr>
                      <w:rFonts w:ascii="Cambria Math" w:hAnsi="Cambria Math"/>
                      <w:lang w:val="en-US"/>
                    </w:rPr>
                    <m:t>exp</m:t>
                  </m:r>
                  <m:ctrlPr>
                    <w:rPr>
                      <w:rFonts w:ascii="Cambria Math" w:hAnsi="Cambria Math"/>
                      <w:i/>
                      <w:lang w:val="en-US"/>
                    </w:rPr>
                  </m:ctrlPr>
                </m:fName>
                <m:e>
                  <m:d>
                    <m:dPr>
                      <m:ctrlPr>
                        <w:rPr>
                          <w:rFonts w:ascii="Cambria Math" w:hAnsi="Cambria Math"/>
                          <w:lang w:val="en-US"/>
                        </w:rPr>
                      </m:ctrlPr>
                    </m:dPr>
                    <m:e>
                      <m:f>
                        <m:fPr>
                          <m:ctrlPr>
                            <w:rPr>
                              <w:rFonts w:ascii="Cambria Math" w:hAnsi="Cambria Math"/>
                              <w:lang w:val="en-US"/>
                            </w:rPr>
                          </m:ctrlPr>
                        </m:fPr>
                        <m:num>
                          <m:r>
                            <m:rPr/>
                            <w:rPr>
                              <w:rFonts w:ascii="Cambria Math" w:hAnsi="Cambria Math"/>
                              <w:lang w:val="en-US"/>
                            </w:rPr>
                            <m:t>1</m:t>
                          </m:r>
                          <m:ctrlPr>
                            <w:rPr>
                              <w:rFonts w:ascii="Cambria Math" w:hAnsi="Cambria Math"/>
                              <w:i/>
                              <w:lang w:val="en-US"/>
                            </w:rPr>
                          </m:ctrlPr>
                        </m:num>
                        <m:den>
                          <m:r>
                            <m:rPr/>
                            <w:rPr>
                              <w:rFonts w:ascii="Cambria Math" w:hAnsi="Cambria Math"/>
                              <w:lang w:val="en-US"/>
                            </w:rPr>
                            <m:t>d</m:t>
                          </m:r>
                          <m:ctrlPr>
                            <w:rPr>
                              <w:rFonts w:ascii="Cambria Math" w:hAnsi="Cambria Math"/>
                              <w:i/>
                              <w:lang w:val="en-US"/>
                            </w:rPr>
                          </m:ctrlPr>
                        </m:den>
                      </m:f>
                      <m:nary>
                        <m:naryPr>
                          <m:chr m:val="∑"/>
                          <m:ctrlPr>
                            <w:rPr>
                              <w:rFonts w:ascii="Cambria Math" w:hAnsi="Cambria Math"/>
                              <w:lang w:val="en-US"/>
                            </w:rPr>
                          </m:ctrlPr>
                        </m:naryPr>
                        <m:sub>
                          <m:r>
                            <m:rPr/>
                            <w:rPr>
                              <w:rFonts w:ascii="Cambria Math" w:hAnsi="Cambria Math"/>
                              <w:lang w:val="en-US"/>
                            </w:rPr>
                            <m:t>i=1</m:t>
                          </m:r>
                          <m:ctrlPr>
                            <w:rPr>
                              <w:rFonts w:ascii="Cambria Math" w:hAnsi="Cambria Math"/>
                              <w:i/>
                              <w:lang w:val="en-US"/>
                            </w:rPr>
                          </m:ctrlPr>
                        </m:sub>
                        <m:sup>
                          <m:r>
                            <m:rPr/>
                            <w:rPr>
                              <w:rFonts w:ascii="Cambria Math" w:hAnsi="Cambria Math"/>
                              <w:lang w:val="en-US"/>
                            </w:rPr>
                            <m:t>d</m:t>
                          </m:r>
                          <m:ctrlPr>
                            <w:rPr>
                              <w:rFonts w:ascii="Cambria Math" w:hAnsi="Cambria Math"/>
                              <w:i/>
                              <w:lang w:val="en-US"/>
                            </w:rPr>
                          </m:ctrlPr>
                        </m:sup>
                        <m:e>
                          <m:func>
                            <m:funcPr>
                              <m:ctrlPr>
                                <w:rPr>
                                  <w:rFonts w:ascii="Cambria Math" w:hAnsi="Cambria Math"/>
                                  <w:lang w:val="en-US"/>
                                </w:rPr>
                              </m:ctrlPr>
                            </m:funcPr>
                            <m:fName>
                              <m:r>
                                <m:rPr>
                                  <m:sty m:val="p"/>
                                </m:rPr>
                                <w:rPr>
                                  <w:rFonts w:ascii="Cambria Math" w:hAnsi="Cambria Math"/>
                                  <w:lang w:val="en-US"/>
                                </w:rPr>
                                <m:t>cos</m:t>
                              </m:r>
                              <m:ctrlPr>
                                <w:rPr>
                                  <w:rFonts w:ascii="Cambria Math" w:hAnsi="Cambria Math"/>
                                  <w:lang w:val="en-US"/>
                                </w:rPr>
                              </m:ctrlPr>
                            </m:fName>
                            <m:e>
                              <m:d>
                                <m:dPr>
                                  <m:ctrlPr>
                                    <w:rPr>
                                      <w:rFonts w:ascii="Cambria Math" w:hAnsi="Cambria Math"/>
                                      <w:i/>
                                      <w:lang w:val="en-US"/>
                                    </w:rPr>
                                  </m:ctrlPr>
                                </m:dPr>
                                <m:e>
                                  <m:r>
                                    <m:rPr/>
                                    <w:rPr>
                                      <w:rFonts w:ascii="Cambria Math" w:hAnsi="Cambria Math"/>
                                      <w:lang w:val="en-US"/>
                                    </w:rPr>
                                    <m:t>2π</m:t>
                                  </m:r>
                                  <m:sSub>
                                    <m:sSubPr>
                                      <m:ctrlPr>
                                        <w:rPr>
                                          <w:rFonts w:ascii="Cambria Math" w:hAnsi="Cambria Math"/>
                                          <w:i/>
                                          <w:lang w:val="en-US"/>
                                        </w:rPr>
                                      </m:ctrlPr>
                                    </m:sSub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Sub>
                                  <m:ctrlPr>
                                    <w:rPr>
                                      <w:rFonts w:ascii="Cambria Math" w:hAnsi="Cambria Math"/>
                                      <w:i/>
                                      <w:lang w:val="en-US"/>
                                    </w:rPr>
                                  </m:ctrlPr>
                                </m:e>
                              </m:d>
                              <m:ctrlPr>
                                <w:rPr>
                                  <w:rFonts w:ascii="Cambria Math" w:hAnsi="Cambria Math"/>
                                  <w:lang w:val="en-US"/>
                                </w:rPr>
                              </m:ctrlPr>
                            </m:e>
                          </m:func>
                          <m:ctrlPr>
                            <w:rPr>
                              <w:rFonts w:ascii="Cambria Math" w:hAnsi="Cambria Math"/>
                              <w:i/>
                              <w:lang w:val="en-US"/>
                            </w:rPr>
                          </m:ctrlPr>
                        </m:e>
                      </m:nary>
                      <m:ctrlPr>
                        <w:rPr>
                          <w:rFonts w:ascii="Cambria Math" w:hAnsi="Cambria Math"/>
                          <w:i/>
                          <w:lang w:val="en-US"/>
                        </w:rPr>
                      </m:ctrlPr>
                    </m:e>
                  </m:d>
                  <m:ctrlPr>
                    <w:rPr>
                      <w:rFonts w:ascii="Cambria Math" w:hAnsi="Cambria Math"/>
                      <w:lang w:val="en-US"/>
                    </w:rPr>
                  </m:ctrlPr>
                </m:e>
              </m:func>
              <m:r>
                <m:rPr/>
                <w:rPr>
                  <w:rFonts w:ascii="Cambria Math" w:hAnsi="Cambria Math"/>
                  <w:lang w:val="en-US"/>
                </w:rPr>
                <m:t>+20+e#</m:t>
              </m:r>
              <m:d>
                <m:dPr>
                  <m:ctrlPr>
                    <w:rPr>
                      <w:rFonts w:ascii="Cambria Math" w:hAnsi="Cambria Math"/>
                      <w:i/>
                      <w:lang w:val="en-US"/>
                    </w:rPr>
                  </m:ctrlPr>
                </m:dPr>
                <m:e>
                  <m:r>
                    <m:rPr/>
                    <w:rPr>
                      <w:rFonts w:ascii="Cambria Math" w:hAnsi="Cambria Math"/>
                      <w:lang w:val="en-US"/>
                    </w:rPr>
                    <m:t>2.4</m:t>
                  </m:r>
                  <m:ctrlPr>
                    <w:rPr>
                      <w:rFonts w:ascii="Cambria Math" w:hAnsi="Cambria Math"/>
                      <w:i/>
                      <w:lang w:val="en-US"/>
                    </w:rPr>
                  </m:ctrlPr>
                </m:e>
              </m:d>
              <m:ctrlPr>
                <w:rPr>
                  <w:rFonts w:ascii="Cambria Math" w:hAnsi="Cambria Math"/>
                  <w:i/>
                  <w:lang w:val="en-US"/>
                </w:rPr>
              </m:ctrlPr>
            </m:e>
          </m:eqArr>
        </m:oMath>
      </m:oMathPara>
    </w:p>
    <w:p w14:paraId="67963AEF">
      <w:pPr>
        <w:spacing w:after="0"/>
        <w:ind w:left="284"/>
        <w:rPr>
          <w:lang w:val="en-US"/>
        </w:rPr>
      </w:pPr>
      <w:r>
        <w:t xml:space="preserve">Dimana </w:t>
      </w:r>
      <m:oMath>
        <m:r>
          <m:rPr/>
          <w:rPr>
            <w:rFonts w:ascii="Cambria Math" w:hAnsi="Cambria Math"/>
          </w:rPr>
          <m:t>d</m:t>
        </m:r>
      </m:oMath>
      <w:r>
        <w:t xml:space="preserve"> adalah dimensi pencarian, dengan rentang pencarian: </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lang w:val="en-US"/>
          </w:rPr>
          <m:t xml:space="preserve"> ϵ [−32, 32]</m:t>
        </m:r>
      </m:oMath>
      <w:r>
        <w:rPr>
          <w:rFonts w:eastAsia="Times New Roman" w:cs="Times New Roman"/>
          <w:szCs w:val="24"/>
          <w:lang w:val="en-US"/>
        </w:rPr>
        <w:t xml:space="preserve"> dan m</w:t>
      </w:r>
      <w:r>
        <w:rPr>
          <w:bCs/>
        </w:rPr>
        <w:t xml:space="preserve">inimum </w:t>
      </w:r>
      <w:r>
        <w:rPr>
          <w:bCs/>
          <w:lang w:val="en-US"/>
        </w:rPr>
        <w:t>g</w:t>
      </w:r>
      <w:r>
        <w:rPr>
          <w:bCs/>
        </w:rPr>
        <w:t>lobal:</w:t>
      </w:r>
      <w:r>
        <w:t xml:space="preserve"> </w:t>
      </w:r>
      <m:oMath>
        <m:r>
          <m:rPr/>
          <w:rPr>
            <w:rFonts w:ascii="Cambria Math" w:hAnsi="Cambria Math"/>
            <w:lang w:val="en-US"/>
          </w:rPr>
          <m:t>f</m:t>
        </m:r>
        <m:d>
          <m:dPr>
            <m:ctrlPr>
              <w:rPr>
                <w:rFonts w:ascii="Cambria Math" w:hAnsi="Cambria Math"/>
                <w:i/>
                <w:lang w:val="en-US"/>
              </w:rPr>
            </m:ctrlPr>
          </m:dPr>
          <m:e>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ctrlPr>
              <w:rPr>
                <w:rFonts w:ascii="Cambria Math" w:hAnsi="Cambria Math"/>
                <w:i/>
                <w:lang w:val="en-US"/>
              </w:rPr>
            </m:ctrlPr>
          </m:e>
        </m:d>
        <m:r>
          <m:rPr/>
          <w:rPr>
            <w:rFonts w:ascii="Cambria Math" w:hAnsi="Cambria Math"/>
            <w:lang w:val="en-US"/>
          </w:rPr>
          <m:t xml:space="preserve"> = 0 </m:t>
        </m:r>
      </m:oMath>
      <w:r>
        <w:rPr>
          <w:lang w:val="en-US"/>
        </w:rPr>
        <w:t xml:space="preserve">pada posisi  </w:t>
      </w:r>
      <m:oMath>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r>
          <m:rPr/>
          <w:rPr>
            <w:rFonts w:ascii="Cambria Math" w:hAnsi="Cambria Math"/>
            <w:lang w:val="en-US"/>
          </w:rPr>
          <m:t xml:space="preserve"> = (0, ...,0).</m:t>
        </m:r>
      </m:oMath>
    </w:p>
    <w:p w14:paraId="095FCDC0">
      <w:pPr>
        <w:pStyle w:val="44"/>
        <w:rPr>
          <w:rFonts w:cs="Times New Roman"/>
        </w:rPr>
      </w:pPr>
      <w:r>
        <w:t xml:space="preserve">b) Fungsi </w:t>
      </w:r>
      <w:r>
        <w:rPr>
          <w:i/>
        </w:rPr>
        <w:t>Rastrigin</w:t>
      </w:r>
    </w:p>
    <w:p w14:paraId="3B64F9F2">
      <w:pPr>
        <w:spacing w:after="0"/>
        <w:ind w:left="284" w:firstLine="720"/>
      </w:pPr>
      <w:r>
        <w:t xml:space="preserve">Fungsi </w:t>
      </w:r>
      <w:r>
        <w:rPr>
          <w:i/>
        </w:rPr>
        <w:t>Rastrigin</w:t>
      </w:r>
      <w:r>
        <w:t xml:space="preserve"> dikenal memiliki permukaan yang sangat kasar dan non-konveks akibat modulasi fungsi kosinus. Fungsi ini mengandung jumlah </w:t>
      </w:r>
      <w:r>
        <w:rPr>
          <w:i/>
          <w:iCs/>
        </w:rPr>
        <w:t>local minima</w:t>
      </w:r>
      <w:r>
        <w:t xml:space="preserve"> yang sangat besar yang tersebar di seluruh ruang pencarian, menyerupai papan telur. Karena kompleksitas ini, Rastrigin digunakan sebagai uji ketat terhadap </w:t>
      </w:r>
      <w:r>
        <w:rPr>
          <w:bCs/>
        </w:rPr>
        <w:t>ketahanan algoritma</w:t>
      </w:r>
      <w:r>
        <w:t xml:space="preserve"> (robustness) dari risiko konvergensi prematur dan kemampuan menjaga diversitas populasi </w:t>
      </w:r>
      <w:r>
        <w:fldChar w:fldCharType="begin" w:fldLock="1"/>
      </w:r>
      <w:r>
        <w:instrText xml:space="preserve">ADDIN CSL_CITATION {"citationItems":[{"id":"ITEM-1","itemData":{"DOI":"10.1109/access.2022.3197745","author":[{"dropping-particle":"","family":"Trojovská","given":"Eva","non-dropping-particle":"","parse-names":false,"suffix":""},{"dropping-particle":"","family":"Dehghani","given":"Mohammad","non-dropping-particle":"","parse-names":false,"suffix":""},{"dropping-particle":"","family":"Trojovský","given":"Pavel","non-dropping-particle":"","parse-names":false,"suffix":""}],"container-title":"Ieee Access","id":"ITEM-1","issued":{"date-parts":[["2022"]]},"page":"84417-84443","title":"Fennec Fox Optimization: A New Nature-Inspired Optimization Algorithm","type":"article-journal","volume":"10"},"uris":["http://www.mendeley.com/documents/?uuid=b1d54448-e352-4faa-a5ef-c055f8d79e1c"]}],"mendeley":{"formattedCitation":"(Trojovská dkk., 2022)","plainTextFormattedCitation":"(Trojovská dkk., 2022)","previouslyFormattedCitation":"(Trojovská, Dehghani dan Trojovský, 2022)"},"properties":{"noteIndex":0},"schema":"https://github.com/citation-style-language/schema/raw/master/csl-citation.json"}</w:instrText>
      </w:r>
      <w:r>
        <w:fldChar w:fldCharType="separate"/>
      </w:r>
      <w:r>
        <w:t>(Trojovská dkk., 2022)</w:t>
      </w:r>
      <w:r>
        <w:fldChar w:fldCharType="end"/>
      </w:r>
      <w:r>
        <w:rPr>
          <w:lang w:val="en-US"/>
        </w:rPr>
        <w:t xml:space="preserve">. </w:t>
      </w:r>
      <w:r>
        <w:t>Rumus matematis fungsi Rastrigin adalah:</w:t>
      </w:r>
    </w:p>
    <w:p w14:paraId="2BD57F6C">
      <w:pPr>
        <w:spacing w:after="0"/>
        <w:ind w:left="284" w:firstLine="720"/>
      </w:pPr>
      <m:oMathPara>
        <m:oMath>
          <m:eqArr>
            <m:eqArrPr>
              <m:maxDist m:val="1"/>
              <m:ctrlPr>
                <w:rPr>
                  <w:rFonts w:ascii="Cambria Math" w:hAnsi="Cambria Math"/>
                  <w:i/>
                </w:rPr>
              </m:ctrlPr>
            </m:eqArrPr>
            <m:e>
              <m:r>
                <m:rPr/>
                <w:rPr>
                  <w:rFonts w:ascii="Cambria Math" w:hAnsi="Cambria Math"/>
                </w:rPr>
                <m:t>f</m:t>
              </m:r>
              <m:d>
                <m:dPr>
                  <m:ctrlPr>
                    <w:rPr>
                      <w:rFonts w:ascii="Cambria Math" w:hAnsi="Cambria Math"/>
                      <w:i/>
                    </w:rPr>
                  </m:ctrlPr>
                </m:dPr>
                <m:e>
                  <m:r>
                    <m:rPr/>
                    <w:rPr>
                      <w:rFonts w:ascii="Cambria Math" w:hAnsi="Cambria Math"/>
                    </w:rPr>
                    <m:t>x</m:t>
                  </m:r>
                  <m:ctrlPr>
                    <w:rPr>
                      <w:rFonts w:ascii="Cambria Math" w:hAnsi="Cambria Math"/>
                      <w:i/>
                    </w:rPr>
                  </m:ctrlPr>
                </m:e>
              </m:d>
              <m:r>
                <m:rPr/>
                <w:rPr>
                  <w:rFonts w:ascii="Cambria Math" w:hAnsi="Cambria Math"/>
                </w:rPr>
                <m:t>=10d+</m:t>
              </m:r>
              <m:nary>
                <m:naryPr>
                  <m:chr m:val="∑"/>
                  <m:ctrlPr>
                    <w:rPr>
                      <w:rFonts w:ascii="Cambria Math" w:hAnsi="Cambria Math"/>
                    </w:rPr>
                  </m:ctrlPr>
                </m:naryPr>
                <m:sub>
                  <m:r>
                    <m:rPr/>
                    <w:rPr>
                      <w:rFonts w:ascii="Cambria Math" w:hAnsi="Cambria Math"/>
                    </w:rPr>
                    <m:t>i=1</m:t>
                  </m:r>
                  <m:ctrlPr>
                    <w:rPr>
                      <w:rFonts w:ascii="Cambria Math" w:hAnsi="Cambria Math"/>
                      <w:i/>
                    </w:rPr>
                  </m:ctrlPr>
                </m:sub>
                <m:sup>
                  <m:r>
                    <m:rPr/>
                    <w:rPr>
                      <w:rFonts w:ascii="Cambria Math" w:hAnsi="Cambria Math"/>
                    </w:rPr>
                    <m:t>d</m:t>
                  </m:r>
                  <m:ctrlPr>
                    <w:rPr>
                      <w:rFonts w:ascii="Cambria Math" w:hAnsi="Cambria Math"/>
                      <w:i/>
                    </w:rPr>
                  </m:ctrlPr>
                </m:sup>
                <m:e>
                  <m:d>
                    <m:dPr>
                      <m:begChr m:val="["/>
                      <m:endChr m:val="]"/>
                      <m:ctrlPr>
                        <w:rPr>
                          <w:rFonts w:ascii="Cambria Math" w:hAnsi="Cambria Math"/>
                        </w:rPr>
                      </m:ctrlPr>
                    </m:dPr>
                    <m:e>
                      <m:sSubSup>
                        <m:sSubSupPr>
                          <m:ctrlPr>
                            <w:rPr>
                              <w:rFonts w:ascii="Cambria Math" w:hAnsi="Cambria Math"/>
                              <w:i/>
                            </w:rPr>
                          </m:ctrlPr>
                        </m:sSubSup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up>
                          <m:r>
                            <m:rPr/>
                            <w:rPr>
                              <w:rFonts w:ascii="Cambria Math" w:hAnsi="Cambria Math"/>
                            </w:rPr>
                            <m:t>2</m:t>
                          </m:r>
                          <m:ctrlPr>
                            <w:rPr>
                              <w:rFonts w:ascii="Cambria Math" w:hAnsi="Cambria Math"/>
                              <w:i/>
                            </w:rPr>
                          </m:ctrlPr>
                        </m:sup>
                      </m:sSubSup>
                      <m:r>
                        <m:rPr/>
                        <w:rPr>
                          <w:rFonts w:ascii="Cambria Math" w:hAnsi="Cambria Math"/>
                        </w:rPr>
                        <m:t>−10</m:t>
                      </m:r>
                      <m:func>
                        <m:funcPr>
                          <m:ctrlPr>
                            <w:rPr>
                              <w:rFonts w:ascii="Cambria Math" w:hAnsi="Cambria Math"/>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r>
                                <m:rPr/>
                                <w:rPr>
                                  <w:rFonts w:ascii="Cambria Math" w:hAnsi="Cambria Math"/>
                                </w:rPr>
                                <m:t>2</m:t>
                              </m:r>
                              <m:r>
                                <m:rPr>
                                  <m:sty m:val="p"/>
                                </m:rPr>
                                <w:rPr>
                                  <w:rFonts w:ascii="Cambria Math" w:hAnsi="Cambria Math"/>
                                </w:rPr>
                                <m:t>π</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e>
                          </m:d>
                          <m:ctrlPr>
                            <w:rPr>
                              <w:rFonts w:ascii="Cambria Math" w:hAnsi="Cambria Math"/>
                            </w:rPr>
                          </m:ctrlPr>
                        </m:e>
                      </m:func>
                      <m:ctrlPr>
                        <w:rPr>
                          <w:rFonts w:ascii="Cambria Math" w:hAnsi="Cambria Math"/>
                          <w:i/>
                        </w:rPr>
                      </m:ctrlPr>
                    </m:e>
                  </m:d>
                  <m:ctrlPr>
                    <w:rPr>
                      <w:rFonts w:ascii="Cambria Math" w:hAnsi="Cambria Math"/>
                      <w:i/>
                    </w:rPr>
                  </m:ctrlPr>
                </m:e>
              </m:nary>
              <m:r>
                <m:rPr/>
                <w:rPr>
                  <w:rFonts w:ascii="Cambria Math" w:hAnsi="Cambria Math"/>
                </w:rPr>
                <m:t>#</m:t>
              </m:r>
              <m:d>
                <m:dPr>
                  <m:ctrlPr>
                    <w:rPr>
                      <w:rFonts w:ascii="Cambria Math" w:hAnsi="Cambria Math"/>
                      <w:i/>
                    </w:rPr>
                  </m:ctrlPr>
                </m:dPr>
                <m:e>
                  <m:r>
                    <m:rPr/>
                    <w:rPr>
                      <w:rFonts w:ascii="Cambria Math" w:hAnsi="Cambria Math"/>
                    </w:rPr>
                    <m:t>2.5</m:t>
                  </m:r>
                  <m:ctrlPr>
                    <w:rPr>
                      <w:rFonts w:ascii="Cambria Math" w:hAnsi="Cambria Math"/>
                      <w:i/>
                    </w:rPr>
                  </m:ctrlPr>
                </m:e>
              </m:d>
              <m:ctrlPr>
                <w:rPr>
                  <w:rFonts w:ascii="Cambria Math" w:hAnsi="Cambria Math"/>
                  <w:i/>
                </w:rPr>
              </m:ctrlPr>
            </m:e>
          </m:eqArr>
        </m:oMath>
      </m:oMathPara>
    </w:p>
    <w:p w14:paraId="38862927">
      <w:pPr>
        <w:spacing w:after="0"/>
        <w:ind w:left="284"/>
        <w:rPr>
          <w:lang w:val="en-US"/>
        </w:rPr>
      </w:pPr>
      <w:r>
        <w:t xml:space="preserve">dengan rentang pencarian: </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lang w:val="en-US"/>
          </w:rPr>
          <m:t xml:space="preserve"> ϵ [−5.12, 5.12]</m:t>
        </m:r>
      </m:oMath>
      <w:r>
        <w:rPr>
          <w:rFonts w:eastAsia="Times New Roman" w:cs="Times New Roman"/>
          <w:szCs w:val="24"/>
          <w:lang w:val="en-US"/>
        </w:rPr>
        <w:t xml:space="preserve"> dan m</w:t>
      </w:r>
      <w:r>
        <w:rPr>
          <w:bCs/>
        </w:rPr>
        <w:t xml:space="preserve">inimum </w:t>
      </w:r>
      <w:r>
        <w:rPr>
          <w:bCs/>
          <w:lang w:val="en-US"/>
        </w:rPr>
        <w:t>g</w:t>
      </w:r>
      <w:r>
        <w:rPr>
          <w:bCs/>
        </w:rPr>
        <w:t>lobal:</w:t>
      </w:r>
      <w:r>
        <w:t xml:space="preserve"> </w:t>
      </w:r>
      <m:oMath>
        <m:r>
          <m:rPr/>
          <w:rPr>
            <w:rFonts w:ascii="Cambria Math" w:hAnsi="Cambria Math"/>
            <w:lang w:val="en-US"/>
          </w:rPr>
          <m:t>f</m:t>
        </m:r>
        <m:d>
          <m:dPr>
            <m:ctrlPr>
              <w:rPr>
                <w:rFonts w:ascii="Cambria Math" w:hAnsi="Cambria Math"/>
                <w:i/>
                <w:lang w:val="en-US"/>
              </w:rPr>
            </m:ctrlPr>
          </m:dPr>
          <m:e>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ctrlPr>
              <w:rPr>
                <w:rFonts w:ascii="Cambria Math" w:hAnsi="Cambria Math"/>
                <w:i/>
                <w:lang w:val="en-US"/>
              </w:rPr>
            </m:ctrlPr>
          </m:e>
        </m:d>
        <m:r>
          <m:rPr/>
          <w:rPr>
            <w:rFonts w:ascii="Cambria Math" w:hAnsi="Cambria Math"/>
            <w:lang w:val="en-US"/>
          </w:rPr>
          <m:t xml:space="preserve"> = 0 </m:t>
        </m:r>
      </m:oMath>
      <w:r>
        <w:rPr>
          <w:lang w:val="en-US"/>
        </w:rPr>
        <w:t xml:space="preserve">pada posisi  </w:t>
      </w:r>
      <m:oMath>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r>
          <m:rPr/>
          <w:rPr>
            <w:rFonts w:ascii="Cambria Math" w:hAnsi="Cambria Math"/>
            <w:lang w:val="en-US"/>
          </w:rPr>
          <m:t xml:space="preserve"> = (0, ...,0).</m:t>
        </m:r>
      </m:oMath>
    </w:p>
    <w:p w14:paraId="0DE58B9F">
      <w:pPr>
        <w:pStyle w:val="44"/>
        <w:rPr>
          <w:rFonts w:cs="Times New Roman"/>
        </w:rPr>
      </w:pPr>
      <w:r>
        <w:t xml:space="preserve">c) Fungsi </w:t>
      </w:r>
      <w:r>
        <w:rPr>
          <w:i/>
        </w:rPr>
        <w:t>Rosenbrock</w:t>
      </w:r>
    </w:p>
    <w:p w14:paraId="3A2A0D0E">
      <w:pPr>
        <w:spacing w:after="0"/>
        <w:ind w:left="284" w:firstLine="720"/>
      </w:pPr>
      <w:r>
        <w:t xml:space="preserve">Berbeda dengan dua fungsi sebelumnya, </w:t>
      </w:r>
      <w:r>
        <w:rPr>
          <w:i/>
        </w:rPr>
        <w:t>Rosenbrock</w:t>
      </w:r>
      <w:r>
        <w:t xml:space="preserve"> (sering disebut sebagai </w:t>
      </w:r>
      <w:r>
        <w:rPr>
          <w:i/>
          <w:iCs/>
        </w:rPr>
        <w:t>Banana function</w:t>
      </w:r>
      <w:r>
        <w:t xml:space="preserve">) adalah fungsi unimodal yang berbentuk lembah parabola panjang dan sempit. Meskipun menemukan lembah tersebut relatif mudah, mencapai titik minimum global yang presisi di dasar lembah sangat sulit karena landainya kemiringan dasar lembah. Fungsi ini digunakan untuk menguji </w:t>
      </w:r>
      <w:r>
        <w:rPr>
          <w:b/>
          <w:bCs/>
        </w:rPr>
        <w:t>presisi eksploitasi</w:t>
      </w:r>
      <w:r>
        <w:t xml:space="preserve"> dan kecepatan konvergensi algoritma dalam melakukan </w:t>
      </w:r>
      <w:r>
        <w:rPr>
          <w:i/>
          <w:iCs/>
        </w:rPr>
        <w:t>fine-tuning</w:t>
      </w:r>
      <w:r>
        <w:t xml:space="preserve"> solusi akhir </w:t>
      </w:r>
      <w:r>
        <w:fldChar w:fldCharType="begin" w:fldLock="1"/>
      </w:r>
      <w:r>
        <w:instrText xml:space="preserve">ADDIN CSL_CITATION {"citationItems":[{"id":"ITEM-1","itemData":{"DOI":"10.1109/access.2022.3197745","author":[{"dropping-particle":"","family":"Trojovská","given":"Eva","non-dropping-particle":"","parse-names":false,"suffix":""},{"dropping-particle":"","family":"Dehghani","given":"Mohammad","non-dropping-particle":"","parse-names":false,"suffix":""},{"dropping-particle":"","family":"Trojovský","given":"Pavel","non-dropping-particle":"","parse-names":false,"suffix":""}],"container-title":"Ieee Access","id":"ITEM-1","issued":{"date-parts":[["2022"]]},"page":"84417-84443","title":"Fennec Fox Optimization: A New Nature-Inspired Optimization Algorithm","type":"article-journal","volume":"10"},"uris":["http://www.mendeley.com/documents/?uuid=b1d54448-e352-4faa-a5ef-c055f8d79e1c"]}],"mendeley":{"formattedCitation":"(Trojovská dkk., 2022)","plainTextFormattedCitation":"(Trojovská dkk., 2022)","previouslyFormattedCitation":"(Trojovská, Dehghani dan Trojovský, 2022)"},"properties":{"noteIndex":0},"schema":"https://github.com/citation-style-language/schema/raw/master/csl-citation.json"}</w:instrText>
      </w:r>
      <w:r>
        <w:fldChar w:fldCharType="separate"/>
      </w:r>
      <w:r>
        <w:t>(Trojovská dkk., 2022)</w:t>
      </w:r>
      <w:r>
        <w:fldChar w:fldCharType="end"/>
      </w:r>
      <w:r>
        <w:rPr>
          <w:lang w:val="en-US"/>
        </w:rPr>
        <w:t xml:space="preserve">. </w:t>
      </w:r>
      <w:r>
        <w:t>Rumus matematis fungsi Rosenbrock adalah:</w:t>
      </w:r>
    </w:p>
    <w:p w14:paraId="7A43B80F">
      <w:pPr>
        <w:spacing w:after="0"/>
        <w:rPr>
          <w:lang w:val="en-US"/>
        </w:rPr>
      </w:pPr>
      <m:oMathPara>
        <m:oMath>
          <m:eqArr>
            <m:eqArrPr>
              <m:maxDist m:val="1"/>
              <m:ctrlPr>
                <w:rPr>
                  <w:rFonts w:ascii="Cambria Math" w:hAnsi="Cambria Math"/>
                  <w:i/>
                  <w:lang w:val="en-US"/>
                </w:rPr>
              </m:ctrlPr>
            </m:eqArrPr>
            <m:e>
              <m:r>
                <m:rPr/>
                <w:rPr>
                  <w:rFonts w:ascii="Cambria Math" w:hAnsi="Cambria Math"/>
                  <w:lang w:val="en-US"/>
                </w:rPr>
                <m:t>f</m:t>
              </m:r>
              <m:d>
                <m:dPr>
                  <m:ctrlPr>
                    <w:rPr>
                      <w:rFonts w:ascii="Cambria Math" w:hAnsi="Cambria Math"/>
                      <w:i/>
                      <w:lang w:val="en-US"/>
                    </w:rPr>
                  </m:ctrlPr>
                </m:dPr>
                <m:e>
                  <m:r>
                    <m:rPr/>
                    <w:rPr>
                      <w:rFonts w:ascii="Cambria Math" w:hAnsi="Cambria Math"/>
                      <w:lang w:val="en-US"/>
                    </w:rPr>
                    <m:t>x</m:t>
                  </m:r>
                  <m:ctrlPr>
                    <w:rPr>
                      <w:rFonts w:ascii="Cambria Math" w:hAnsi="Cambria Math"/>
                      <w:i/>
                      <w:lang w:val="en-US"/>
                    </w:rPr>
                  </m:ctrlPr>
                </m:e>
              </m:d>
              <m:r>
                <m:rPr/>
                <w:rPr>
                  <w:rFonts w:ascii="Cambria Math" w:hAnsi="Cambria Math"/>
                  <w:lang w:val="en-US"/>
                </w:rPr>
                <m:t>=</m:t>
              </m:r>
              <m:nary>
                <m:naryPr>
                  <m:chr m:val="∑"/>
                  <m:ctrlPr>
                    <w:rPr>
                      <w:rFonts w:ascii="Cambria Math" w:hAnsi="Cambria Math"/>
                      <w:lang w:val="en-US"/>
                    </w:rPr>
                  </m:ctrlPr>
                </m:naryPr>
                <m:sub>
                  <m:r>
                    <m:rPr/>
                    <w:rPr>
                      <w:rFonts w:ascii="Cambria Math" w:hAnsi="Cambria Math"/>
                      <w:lang w:val="en-US"/>
                    </w:rPr>
                    <m:t>i=1</m:t>
                  </m:r>
                  <m:ctrlPr>
                    <w:rPr>
                      <w:rFonts w:ascii="Cambria Math" w:hAnsi="Cambria Math"/>
                      <w:i/>
                      <w:lang w:val="en-US"/>
                    </w:rPr>
                  </m:ctrlPr>
                </m:sub>
                <m:sup>
                  <m:r>
                    <m:rPr/>
                    <w:rPr>
                      <w:rFonts w:ascii="Cambria Math" w:hAnsi="Cambria Math"/>
                      <w:lang w:val="en-US"/>
                    </w:rPr>
                    <m:t>d−1</m:t>
                  </m:r>
                  <m:ctrlPr>
                    <w:rPr>
                      <w:rFonts w:ascii="Cambria Math" w:hAnsi="Cambria Math"/>
                      <w:i/>
                      <w:lang w:val="en-US"/>
                    </w:rPr>
                  </m:ctrlPr>
                </m:sup>
                <m:e>
                  <m:d>
                    <m:dPr>
                      <m:begChr m:val="["/>
                      <m:endChr m:val="]"/>
                      <m:ctrlPr>
                        <w:rPr>
                          <w:rFonts w:ascii="Cambria Math" w:hAnsi="Cambria Math"/>
                          <w:lang w:val="en-US"/>
                        </w:rPr>
                      </m:ctrlPr>
                    </m:dPr>
                    <m:e>
                      <m:r>
                        <m:rPr/>
                        <w:rPr>
                          <w:rFonts w:ascii="Cambria Math" w:hAnsi="Cambria Math"/>
                          <w:lang w:val="en-US"/>
                        </w:rPr>
                        <m:t>100</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m:rPr/>
                                    <w:rPr>
                                      <w:rFonts w:ascii="Cambria Math" w:hAnsi="Cambria Math"/>
                                      <w:lang w:val="en-US"/>
                                    </w:rPr>
                                    <m:t>x</m:t>
                                  </m:r>
                                  <m:ctrlPr>
                                    <w:rPr>
                                      <w:rFonts w:ascii="Cambria Math" w:hAnsi="Cambria Math"/>
                                      <w:i/>
                                      <w:lang w:val="en-US"/>
                                    </w:rPr>
                                  </m:ctrlPr>
                                </m:e>
                                <m:sub>
                                  <m:r>
                                    <m:rPr/>
                                    <w:rPr>
                                      <w:rFonts w:ascii="Cambria Math" w:hAnsi="Cambria Math"/>
                                      <w:lang w:val="en-US"/>
                                    </w:rPr>
                                    <m:t>i+1</m:t>
                                  </m:r>
                                  <m:ctrlPr>
                                    <w:rPr>
                                      <w:rFonts w:ascii="Cambria Math" w:hAnsi="Cambria Math"/>
                                      <w:i/>
                                      <w:lang w:val="en-US"/>
                                    </w:rPr>
                                  </m:ctrlPr>
                                </m:sub>
                              </m:sSub>
                              <m:r>
                                <m:rPr/>
                                <w:rPr>
                                  <w:rFonts w:ascii="Cambria Math" w:hAnsi="Cambria Math"/>
                                  <w:lang w:val="en-US"/>
                                </w:rPr>
                                <m:t>−</m:t>
                              </m:r>
                              <m:sSubSup>
                                <m:sSubSupPr>
                                  <m:ctrlPr>
                                    <w:rPr>
                                      <w:rFonts w:ascii="Cambria Math" w:hAnsi="Cambria Math"/>
                                      <w:i/>
                                      <w:lang w:val="en-US"/>
                                    </w:rPr>
                                  </m:ctrlPr>
                                </m:sSubSup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up>
                                  <m:r>
                                    <m:rPr/>
                                    <w:rPr>
                                      <w:rFonts w:ascii="Cambria Math" w:hAnsi="Cambria Math"/>
                                      <w:lang w:val="en-US"/>
                                    </w:rPr>
                                    <m:t>2</m:t>
                                  </m:r>
                                  <m:ctrlPr>
                                    <w:rPr>
                                      <w:rFonts w:ascii="Cambria Math" w:hAnsi="Cambria Math"/>
                                      <w:i/>
                                      <w:lang w:val="en-US"/>
                                    </w:rPr>
                                  </m:ctrlPr>
                                </m:sup>
                              </m:sSubSup>
                              <m:ctrlPr>
                                <w:rPr>
                                  <w:rFonts w:ascii="Cambria Math" w:hAnsi="Cambria Math"/>
                                  <w:i/>
                                  <w:lang w:val="en-US"/>
                                </w:rPr>
                              </m:ctrlPr>
                            </m:e>
                          </m:d>
                          <m:ctrlPr>
                            <w:rPr>
                              <w:rFonts w:ascii="Cambria Math" w:hAnsi="Cambria Math"/>
                              <w:i/>
                              <w:lang w:val="en-US"/>
                            </w:rPr>
                          </m:ctrlPr>
                        </m:e>
                        <m:sup>
                          <m:r>
                            <m:rPr/>
                            <w:rPr>
                              <w:rFonts w:ascii="Cambria Math" w:hAnsi="Cambria Math"/>
                              <w:lang w:val="en-US"/>
                            </w:rPr>
                            <m:t>2</m:t>
                          </m:r>
                          <m:ctrlPr>
                            <w:rPr>
                              <w:rFonts w:ascii="Cambria Math" w:hAnsi="Cambria Math"/>
                              <w:i/>
                              <w:lang w:val="en-US"/>
                            </w:rPr>
                          </m:ctrlPr>
                        </m:sup>
                      </m:sSup>
                      <m:r>
                        <m:rP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m:rPr/>
                                    <w:rPr>
                                      <w:rFonts w:ascii="Cambria Math" w:hAnsi="Cambria Math"/>
                                      <w:lang w:val="en-US"/>
                                    </w:rPr>
                                    <m:t>x</m:t>
                                  </m:r>
                                  <m:ctrlPr>
                                    <w:rPr>
                                      <w:rFonts w:ascii="Cambria Math" w:hAnsi="Cambria Math"/>
                                      <w:i/>
                                      <w:lang w:val="en-US"/>
                                    </w:rPr>
                                  </m:ctrlPr>
                                </m:e>
                                <m:sub>
                                  <m:r>
                                    <m:rPr/>
                                    <w:rPr>
                                      <w:rFonts w:ascii="Cambria Math" w:hAnsi="Cambria Math"/>
                                      <w:lang w:val="en-US"/>
                                    </w:rPr>
                                    <m:t>i</m:t>
                                  </m:r>
                                  <m:ctrlPr>
                                    <w:rPr>
                                      <w:rFonts w:ascii="Cambria Math" w:hAnsi="Cambria Math"/>
                                      <w:i/>
                                      <w:lang w:val="en-US"/>
                                    </w:rPr>
                                  </m:ctrlPr>
                                </m:sub>
                              </m:sSub>
                              <m:r>
                                <m:rPr/>
                                <w:rPr>
                                  <w:rFonts w:ascii="Cambria Math" w:hAnsi="Cambria Math"/>
                                  <w:lang w:val="en-US"/>
                                </w:rPr>
                                <m:t>−1</m:t>
                              </m:r>
                              <m:ctrlPr>
                                <w:rPr>
                                  <w:rFonts w:ascii="Cambria Math" w:hAnsi="Cambria Math"/>
                                  <w:i/>
                                  <w:lang w:val="en-US"/>
                                </w:rPr>
                              </m:ctrlPr>
                            </m:e>
                          </m:d>
                          <m:ctrlPr>
                            <w:rPr>
                              <w:rFonts w:ascii="Cambria Math" w:hAnsi="Cambria Math"/>
                              <w:i/>
                              <w:lang w:val="en-US"/>
                            </w:rPr>
                          </m:ctrlPr>
                        </m:e>
                        <m:sup>
                          <m:r>
                            <m:rPr/>
                            <w:rPr>
                              <w:rFonts w:ascii="Cambria Math" w:hAnsi="Cambria Math"/>
                              <w:lang w:val="en-US"/>
                            </w:rPr>
                            <m:t>2</m:t>
                          </m:r>
                          <m:ctrlPr>
                            <w:rPr>
                              <w:rFonts w:ascii="Cambria Math" w:hAnsi="Cambria Math"/>
                              <w:i/>
                              <w:lang w:val="en-US"/>
                            </w:rPr>
                          </m:ctrlPr>
                        </m:sup>
                      </m:sSup>
                      <m:ctrlPr>
                        <w:rPr>
                          <w:rFonts w:ascii="Cambria Math" w:hAnsi="Cambria Math"/>
                          <w:i/>
                          <w:lang w:val="en-US"/>
                        </w:rPr>
                      </m:ctrlPr>
                    </m:e>
                  </m:d>
                  <m:ctrlPr>
                    <w:rPr>
                      <w:rFonts w:ascii="Cambria Math" w:hAnsi="Cambria Math"/>
                      <w:i/>
                      <w:lang w:val="en-US"/>
                    </w:rPr>
                  </m:ctrlPr>
                </m:e>
              </m:nary>
              <m:r>
                <m:rPr/>
                <w:rPr>
                  <w:rFonts w:ascii="Cambria Math" w:hAnsi="Cambria Math"/>
                  <w:lang w:val="en-US"/>
                </w:rPr>
                <m:t>#</m:t>
              </m:r>
              <m:d>
                <m:dPr>
                  <m:ctrlPr>
                    <w:rPr>
                      <w:rFonts w:ascii="Cambria Math" w:hAnsi="Cambria Math"/>
                      <w:i/>
                      <w:lang w:val="en-US"/>
                    </w:rPr>
                  </m:ctrlPr>
                </m:dPr>
                <m:e>
                  <m:r>
                    <m:rPr/>
                    <w:rPr>
                      <w:rFonts w:ascii="Cambria Math" w:hAnsi="Cambria Math"/>
                      <w:lang w:val="en-US"/>
                    </w:rPr>
                    <m:t>2.6</m:t>
                  </m:r>
                  <m:ctrlPr>
                    <w:rPr>
                      <w:rFonts w:ascii="Cambria Math" w:hAnsi="Cambria Math"/>
                      <w:i/>
                      <w:lang w:val="en-US"/>
                    </w:rPr>
                  </m:ctrlPr>
                </m:e>
              </m:d>
              <m:ctrlPr>
                <w:rPr>
                  <w:rFonts w:ascii="Cambria Math" w:hAnsi="Cambria Math"/>
                  <w:i/>
                  <w:lang w:val="en-US"/>
                </w:rPr>
              </m:ctrlPr>
            </m:e>
          </m:eqArr>
        </m:oMath>
      </m:oMathPara>
    </w:p>
    <w:p w14:paraId="12F91FD2">
      <w:pPr>
        <w:spacing w:after="0"/>
        <w:ind w:left="284"/>
        <w:rPr>
          <w:lang w:val="en-US"/>
        </w:rPr>
      </w:pPr>
      <w:r>
        <w:t xml:space="preserve">dengan rentang pencarian: </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lang w:val="en-US"/>
          </w:rPr>
          <m:t xml:space="preserve"> ϵ [−30, 30]</m:t>
        </m:r>
      </m:oMath>
      <w:r>
        <w:rPr>
          <w:lang w:val="en-US"/>
        </w:rPr>
        <w:t xml:space="preserve"> variatif, sering juga [-5, 10]</w:t>
      </w:r>
      <w:r>
        <w:rPr>
          <w:rFonts w:eastAsia="Times New Roman" w:cs="Times New Roman"/>
          <w:szCs w:val="24"/>
          <w:lang w:val="en-US"/>
        </w:rPr>
        <w:t xml:space="preserve"> dan m</w:t>
      </w:r>
      <w:r>
        <w:rPr>
          <w:bCs/>
        </w:rPr>
        <w:t xml:space="preserve">inimum </w:t>
      </w:r>
      <w:r>
        <w:rPr>
          <w:bCs/>
          <w:lang w:val="en-US"/>
        </w:rPr>
        <w:t>g</w:t>
      </w:r>
      <w:r>
        <w:rPr>
          <w:bCs/>
        </w:rPr>
        <w:t>lobal:</w:t>
      </w:r>
      <w:r>
        <w:t xml:space="preserve"> </w:t>
      </w:r>
      <m:oMath>
        <m:r>
          <m:rPr/>
          <w:rPr>
            <w:rFonts w:ascii="Cambria Math" w:hAnsi="Cambria Math"/>
            <w:lang w:val="en-US"/>
          </w:rPr>
          <m:t>f</m:t>
        </m:r>
        <m:d>
          <m:dPr>
            <m:ctrlPr>
              <w:rPr>
                <w:rFonts w:ascii="Cambria Math" w:hAnsi="Cambria Math"/>
                <w:i/>
                <w:lang w:val="en-US"/>
              </w:rPr>
            </m:ctrlPr>
          </m:dPr>
          <m:e>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ctrlPr>
              <w:rPr>
                <w:rFonts w:ascii="Cambria Math" w:hAnsi="Cambria Math"/>
                <w:i/>
                <w:lang w:val="en-US"/>
              </w:rPr>
            </m:ctrlPr>
          </m:e>
        </m:d>
        <m:r>
          <m:rPr/>
          <w:rPr>
            <w:rFonts w:ascii="Cambria Math" w:hAnsi="Cambria Math"/>
            <w:lang w:val="en-US"/>
          </w:rPr>
          <m:t xml:space="preserve"> = 0 </m:t>
        </m:r>
      </m:oMath>
      <w:r>
        <w:rPr>
          <w:lang w:val="en-US"/>
        </w:rPr>
        <w:t xml:space="preserve">pada posisi  </w:t>
      </w:r>
      <m:oMath>
        <m:sSup>
          <m:sSupPr>
            <m:ctrlPr>
              <w:rPr>
                <w:rFonts w:ascii="Cambria Math" w:hAnsi="Cambria Math"/>
                <w:i/>
                <w:lang w:val="en-US"/>
              </w:rPr>
            </m:ctrlPr>
          </m:sSupPr>
          <m:e>
            <m:r>
              <m:rPr/>
              <w:rPr>
                <w:rFonts w:ascii="Cambria Math" w:hAnsi="Cambria Math"/>
                <w:lang w:val="en-US"/>
              </w:rPr>
              <m:t>x</m:t>
            </m:r>
            <m:ctrlPr>
              <w:rPr>
                <w:rFonts w:ascii="Cambria Math" w:hAnsi="Cambria Math"/>
                <w:i/>
                <w:lang w:val="en-US"/>
              </w:rPr>
            </m:ctrlPr>
          </m:e>
          <m:sup>
            <m:r>
              <m:rPr/>
              <w:rPr>
                <w:rFonts w:ascii="Cambria Math" w:hAnsi="Cambria Math"/>
                <w:lang w:val="en-US"/>
              </w:rPr>
              <m:t>∗</m:t>
            </m:r>
            <m:ctrlPr>
              <w:rPr>
                <w:rFonts w:ascii="Cambria Math" w:hAnsi="Cambria Math"/>
                <w:i/>
                <w:lang w:val="en-US"/>
              </w:rPr>
            </m:ctrlPr>
          </m:sup>
        </m:sSup>
        <m:r>
          <m:rPr/>
          <w:rPr>
            <w:rFonts w:ascii="Cambria Math" w:hAnsi="Cambria Math"/>
            <w:lang w:val="en-US"/>
          </w:rPr>
          <m:t xml:space="preserve"> = (1, ...,1).</m:t>
        </m:r>
      </m:oMath>
    </w:p>
    <w:p w14:paraId="7A46853D">
      <w:pPr>
        <w:pStyle w:val="4"/>
        <w:rPr>
          <w:lang w:val="en-US"/>
        </w:rPr>
      </w:pPr>
      <w:bookmarkStart w:id="38" w:name="_Toc236076733"/>
      <w:r>
        <w:t>2.2.</w:t>
      </w:r>
      <w:r>
        <w:rPr>
          <w:lang w:val="en-US"/>
        </w:rPr>
        <w:t>8</w:t>
      </w:r>
      <w:r>
        <w:t xml:space="preserve"> Metrik Evaluasi, </w:t>
      </w:r>
      <w:r>
        <w:rPr>
          <w:i/>
        </w:rPr>
        <w:t>Robustness</w:t>
      </w:r>
      <w:r>
        <w:t xml:space="preserve"> dan Efisiensi Komputasi</w:t>
      </w:r>
      <w:r>
        <w:rPr>
          <w:lang w:val="en-US"/>
        </w:rPr>
        <w:t>.</w:t>
      </w:r>
      <w:bookmarkEnd w:id="38"/>
    </w:p>
    <w:p w14:paraId="7E728013">
      <w:pPr>
        <w:pStyle w:val="44"/>
      </w:pPr>
      <w:r>
        <w:t>a) Metrik Akurasi (RMSE, MAE, R²)</w:t>
      </w:r>
    </w:p>
    <w:p w14:paraId="09A8501E">
      <w:pPr>
        <w:spacing w:after="0"/>
        <w:ind w:left="284" w:firstLine="720"/>
        <w:rPr>
          <w:lang w:val="zh-CN"/>
        </w:rPr>
      </w:pPr>
      <w:r>
        <w:rPr>
          <w:lang w:val="zh-CN"/>
        </w:rPr>
        <w:t xml:space="preserve">Pada peramalan berbasis regresi, metrik akurasi digunakan untuk mengukur seberapa dekat prediksi model terhadap nilai observasi. Tiga metrik yang paling umum digunakan adalah </w:t>
      </w:r>
      <w:r>
        <w:rPr>
          <w:i/>
          <w:lang w:val="zh-CN"/>
        </w:rPr>
        <w:t>Root Mean Square Error</w:t>
      </w:r>
      <w:r>
        <w:rPr>
          <w:lang w:val="zh-CN"/>
        </w:rPr>
        <w:t xml:space="preserve"> (RMSE), </w:t>
      </w:r>
      <w:r>
        <w:rPr>
          <w:i/>
          <w:lang w:val="zh-CN"/>
        </w:rPr>
        <w:t>Mean Absolute Error</w:t>
      </w:r>
      <w:r>
        <w:rPr>
          <w:lang w:val="zh-CN"/>
        </w:rPr>
        <w:t xml:space="preserve"> (MAE), dan koefisien determinasi (</w:t>
      </w:r>
      <m:oMath>
        <m:sSup>
          <m:sSupPr>
            <m:ctrlPr>
              <w:rPr>
                <w:rFonts w:ascii="Cambria Math" w:hAnsi="Cambria Math"/>
                <w:lang w:val="zh-CN"/>
              </w:rPr>
            </m:ctrlPr>
          </m:sSupPr>
          <m:e>
            <m:r>
              <m:rPr>
                <m:sty m:val="p"/>
              </m:rPr>
              <w:rPr>
                <w:rFonts w:ascii="Cambria Math" w:hAnsi="Cambria Math"/>
                <w:lang w:val="zh-CN"/>
              </w:rPr>
              <m:t>R</m:t>
            </m:r>
            <m:ctrlPr>
              <w:rPr>
                <w:rFonts w:ascii="Cambria Math" w:hAnsi="Cambria Math"/>
                <w:lang w:val="zh-CN"/>
              </w:rPr>
            </m:ctrlPr>
          </m:e>
          <m:sup>
            <m:r>
              <m:rPr>
                <m:sty m:val="p"/>
              </m:rPr>
              <w:rPr>
                <w:rFonts w:ascii="Cambria Math" w:hAnsi="Cambria Math"/>
                <w:lang w:val="zh-CN"/>
              </w:rPr>
              <m:t>2</m:t>
            </m:r>
            <m:ctrlPr>
              <w:rPr>
                <w:rFonts w:ascii="Cambria Math" w:hAnsi="Cambria Math"/>
                <w:lang w:val="zh-CN"/>
              </w:rPr>
            </m:ctrlPr>
          </m:sup>
        </m:sSup>
      </m:oMath>
      <w:r>
        <w:rPr>
          <w:lang w:val="zh-CN"/>
        </w:rPr>
        <w:t>). Secara matematis, RMSE didefinisikan sebagai:</w:t>
      </w:r>
    </w:p>
    <w:p w14:paraId="19164214">
      <w:pPr>
        <w:spacing w:after="0"/>
        <w:rPr>
          <w:lang w:val="zh-CN"/>
        </w:rPr>
      </w:pPr>
      <m:oMathPara>
        <m:oMath>
          <m:eqArr>
            <m:eqArrPr>
              <m:maxDist m:val="1"/>
              <m:ctrlPr>
                <w:rPr>
                  <w:rFonts w:ascii="Cambria Math" w:hAnsi="Cambria Math"/>
                  <w:i/>
                  <w:lang w:val="zh-CN"/>
                </w:rPr>
              </m:ctrlPr>
            </m:eqArrPr>
            <m:e>
              <m:r>
                <m:rPr/>
                <w:rPr>
                  <w:rFonts w:ascii="Cambria Math" w:hAnsi="Cambria Math"/>
                  <w:lang w:val="zh-CN"/>
                </w:rPr>
                <m:t>RMSE=</m:t>
              </m:r>
              <m:rad>
                <m:radPr>
                  <m:degHide m:val="1"/>
                  <m:ctrlPr>
                    <w:rPr>
                      <w:rFonts w:ascii="Cambria Math" w:hAnsi="Cambria Math"/>
                      <w:lang w:val="zh-CN"/>
                    </w:rPr>
                  </m:ctrlPr>
                </m:radPr>
                <m:deg>
                  <m:ctrlPr>
                    <w:rPr>
                      <w:rFonts w:ascii="Cambria Math" w:hAnsi="Cambria Math"/>
                      <w:i/>
                      <w:lang w:val="zh-CN"/>
                    </w:rPr>
                  </m:ctrlPr>
                </m:deg>
                <m:e>
                  <m:f>
                    <m:fPr>
                      <m:ctrlPr>
                        <w:rPr>
                          <w:rFonts w:ascii="Cambria Math" w:hAnsi="Cambria Math"/>
                          <w:lang w:val="zh-CN"/>
                        </w:rPr>
                      </m:ctrlPr>
                    </m:fPr>
                    <m:num>
                      <m:r>
                        <m:rPr/>
                        <w:rPr>
                          <w:rFonts w:ascii="Cambria Math" w:hAnsi="Cambria Math"/>
                          <w:lang w:val="zh-CN"/>
                        </w:rPr>
                        <m:t>1</m:t>
                      </m:r>
                      <m:ctrlPr>
                        <w:rPr>
                          <w:rFonts w:ascii="Cambria Math" w:hAnsi="Cambria Math"/>
                          <w:i/>
                          <w:lang w:val="zh-CN"/>
                        </w:rPr>
                      </m:ctrlPr>
                    </m:num>
                    <m:den>
                      <m:r>
                        <m:rPr/>
                        <w:rPr>
                          <w:rFonts w:ascii="Cambria Math" w:hAnsi="Cambria Math"/>
                          <w:lang w:val="zh-CN"/>
                        </w:rPr>
                        <m:t>n</m:t>
                      </m:r>
                      <m:ctrlPr>
                        <w:rPr>
                          <w:rFonts w:ascii="Cambria Math" w:hAnsi="Cambria Math"/>
                          <w:i/>
                          <w:lang w:val="zh-CN"/>
                        </w:rPr>
                      </m:ctrlPr>
                    </m:den>
                  </m:f>
                  <m:nary>
                    <m:naryPr>
                      <m:chr m:val="∑"/>
                      <m:ctrlPr>
                        <w:rPr>
                          <w:rFonts w:ascii="Cambria Math" w:hAnsi="Cambria Math"/>
                          <w:lang w:val="zh-CN"/>
                        </w:rPr>
                      </m:ctrlPr>
                    </m:naryPr>
                    <m:sub>
                      <m:r>
                        <m:rPr/>
                        <w:rPr>
                          <w:rFonts w:ascii="Cambria Math" w:hAnsi="Cambria Math"/>
                          <w:lang w:val="zh-CN"/>
                        </w:rPr>
                        <m:t>i=1</m:t>
                      </m:r>
                      <m:ctrlPr>
                        <w:rPr>
                          <w:rFonts w:ascii="Cambria Math" w:hAnsi="Cambria Math"/>
                          <w:i/>
                          <w:lang w:val="zh-CN"/>
                        </w:rPr>
                      </m:ctrlPr>
                    </m:sub>
                    <m:sup>
                      <m:r>
                        <m:rPr/>
                        <w:rPr>
                          <w:rFonts w:ascii="Cambria Math" w:hAnsi="Cambria Math"/>
                          <w:lang w:val="zh-CN"/>
                        </w:rPr>
                        <m:t>n</m:t>
                      </m:r>
                      <m:ctrlPr>
                        <w:rPr>
                          <w:rFonts w:ascii="Cambria Math" w:hAnsi="Cambria Math"/>
                          <w:i/>
                          <w:lang w:val="zh-CN"/>
                        </w:rPr>
                      </m:ctrlPr>
                    </m:sup>
                    <m:e>
                      <m:sSup>
                        <m:sSupPr>
                          <m:ctrlPr>
                            <w:rPr>
                              <w:rFonts w:ascii="Cambria Math" w:hAnsi="Cambria Math"/>
                              <w:i/>
                              <w:lang w:val="zh-CN"/>
                            </w:rPr>
                          </m:ctrlPr>
                        </m:sSupPr>
                        <m:e>
                          <m:d>
                            <m:dPr>
                              <m:ctrlPr>
                                <w:rPr>
                                  <w:rFonts w:ascii="Cambria Math" w:hAnsi="Cambria Math"/>
                                  <w:i/>
                                  <w:lang w:val="zh-CN"/>
                                </w:rPr>
                              </m:ctrlPr>
                            </m:dPr>
                            <m:e>
                              <m:sSub>
                                <m:sSubPr>
                                  <m:ctrlPr>
                                    <w:rPr>
                                      <w:rFonts w:ascii="Cambria Math" w:hAnsi="Cambria Math"/>
                                      <w:i/>
                                      <w:lang w:val="zh-CN"/>
                                    </w:rPr>
                                  </m:ctrlPr>
                                </m:sSubPr>
                                <m:e>
                                  <m:r>
                                    <m:rPr/>
                                    <w:rPr>
                                      <w:rFonts w:ascii="Cambria Math" w:hAnsi="Cambria Math"/>
                                      <w:lang w:val="zh-CN"/>
                                    </w:rPr>
                                    <m:t>y</m:t>
                                  </m:r>
                                  <m:ctrlPr>
                                    <w:rPr>
                                      <w:rFonts w:ascii="Cambria Math" w:hAnsi="Cambria Math"/>
                                      <w:i/>
                                      <w:lang w:val="zh-CN"/>
                                    </w:rPr>
                                  </m:ctrlPr>
                                </m:e>
                                <m:sub>
                                  <m:r>
                                    <m:rPr/>
                                    <w:rPr>
                                      <w:rFonts w:ascii="Cambria Math" w:hAnsi="Cambria Math"/>
                                      <w:lang w:val="zh-CN"/>
                                    </w:rPr>
                                    <m:t>i</m:t>
                                  </m:r>
                                  <m:ctrlPr>
                                    <w:rPr>
                                      <w:rFonts w:ascii="Cambria Math" w:hAnsi="Cambria Math"/>
                                      <w:i/>
                                      <w:lang w:val="zh-CN"/>
                                    </w:rPr>
                                  </m:ctrlPr>
                                </m:sub>
                              </m:sSub>
                              <m:r>
                                <m:rPr/>
                                <w:rPr>
                                  <w:rFonts w:ascii="Cambria Math" w:hAnsi="Cambria Math"/>
                                  <w:lang w:val="zh-CN"/>
                                </w:rPr>
                                <m:t>−</m:t>
                              </m:r>
                              <m:acc>
                                <m:accPr>
                                  <m:ctrlPr>
                                    <w:rPr>
                                      <w:rFonts w:ascii="Cambria Math" w:hAnsi="Cambria Math"/>
                                      <w:lang w:val="zh-CN"/>
                                    </w:rPr>
                                  </m:ctrlPr>
                                </m:accPr>
                                <m:e>
                                  <m:sSub>
                                    <m:sSubPr>
                                      <m:ctrlPr>
                                        <w:rPr>
                                          <w:rFonts w:ascii="Cambria Math" w:hAnsi="Cambria Math"/>
                                          <w:i/>
                                          <w:lang w:val="zh-CN"/>
                                        </w:rPr>
                                      </m:ctrlPr>
                                    </m:sSubPr>
                                    <m:e>
                                      <m:r>
                                        <m:rPr/>
                                        <w:rPr>
                                          <w:rFonts w:ascii="Cambria Math" w:hAnsi="Cambria Math"/>
                                          <w:lang w:val="zh-CN"/>
                                        </w:rPr>
                                        <m:t>y</m:t>
                                      </m:r>
                                      <m:ctrlPr>
                                        <w:rPr>
                                          <w:rFonts w:ascii="Cambria Math" w:hAnsi="Cambria Math"/>
                                          <w:lang w:val="zh-CN"/>
                                        </w:rPr>
                                      </m:ctrlPr>
                                    </m:e>
                                    <m:sub>
                                      <m:r>
                                        <m:rPr/>
                                        <w:rPr>
                                          <w:rFonts w:ascii="Cambria Math" w:hAnsi="Cambria Math"/>
                                          <w:lang w:val="zh-CN"/>
                                        </w:rPr>
                                        <m:t>I</m:t>
                                      </m:r>
                                      <m:ctrlPr>
                                        <w:rPr>
                                          <w:rFonts w:ascii="Cambria Math" w:hAnsi="Cambria Math"/>
                                          <w:i/>
                                          <w:lang w:val="zh-CN"/>
                                        </w:rPr>
                                      </m:ctrlPr>
                                    </m:sub>
                                  </m:sSub>
                                  <m:ctrlPr>
                                    <w:rPr>
                                      <w:rFonts w:ascii="Cambria Math" w:hAnsi="Cambria Math"/>
                                      <w:lang w:val="zh-CN"/>
                                    </w:rPr>
                                  </m:ctrlPr>
                                </m:e>
                              </m:acc>
                              <m:ctrlPr>
                                <w:rPr>
                                  <w:rFonts w:ascii="Cambria Math" w:hAnsi="Cambria Math"/>
                                  <w:i/>
                                  <w:lang w:val="zh-CN"/>
                                </w:rPr>
                              </m:ctrlPr>
                            </m:e>
                          </m:d>
                          <m:ctrlPr>
                            <w:rPr>
                              <w:rFonts w:ascii="Cambria Math" w:hAnsi="Cambria Math"/>
                              <w:i/>
                              <w:lang w:val="zh-CN"/>
                            </w:rPr>
                          </m:ctrlPr>
                        </m:e>
                        <m:sup>
                          <m:r>
                            <m:rPr/>
                            <w:rPr>
                              <w:rFonts w:ascii="Cambria Math" w:hAnsi="Cambria Math"/>
                              <w:lang w:val="zh-CN"/>
                            </w:rPr>
                            <m:t>2</m:t>
                          </m:r>
                          <m:ctrlPr>
                            <w:rPr>
                              <w:rFonts w:ascii="Cambria Math" w:hAnsi="Cambria Math"/>
                              <w:i/>
                              <w:lang w:val="zh-CN"/>
                            </w:rPr>
                          </m:ctrlPr>
                        </m:sup>
                      </m:sSup>
                      <m:ctrlPr>
                        <w:rPr>
                          <w:rFonts w:ascii="Cambria Math" w:hAnsi="Cambria Math"/>
                          <w:i/>
                          <w:lang w:val="zh-CN"/>
                        </w:rPr>
                      </m:ctrlPr>
                    </m:e>
                  </m:nary>
                  <m:ctrlPr>
                    <w:rPr>
                      <w:rFonts w:ascii="Cambria Math" w:hAnsi="Cambria Math"/>
                      <w:lang w:val="zh-CN"/>
                    </w:rPr>
                  </m:ctrlPr>
                </m:e>
              </m:rad>
              <m:r>
                <m:rPr/>
                <w:rPr>
                  <w:rFonts w:ascii="Cambria Math" w:hAnsi="Cambria Math"/>
                  <w:lang w:val="zh-CN"/>
                </w:rPr>
                <m:t>#</m:t>
              </m:r>
              <m:d>
                <m:dPr>
                  <m:ctrlPr>
                    <w:rPr>
                      <w:rFonts w:ascii="Cambria Math" w:hAnsi="Cambria Math"/>
                      <w:i/>
                      <w:lang w:val="zh-CN"/>
                    </w:rPr>
                  </m:ctrlPr>
                </m:dPr>
                <m:e>
                  <m:r>
                    <m:rPr/>
                    <w:rPr>
                      <w:rFonts w:ascii="Cambria Math" w:hAnsi="Cambria Math"/>
                      <w:lang w:val="zh-CN"/>
                    </w:rPr>
                    <m:t>2.7</m:t>
                  </m:r>
                  <m:ctrlPr>
                    <w:rPr>
                      <w:rFonts w:ascii="Cambria Math" w:hAnsi="Cambria Math"/>
                      <w:i/>
                      <w:lang w:val="zh-CN"/>
                    </w:rPr>
                  </m:ctrlPr>
                </m:e>
              </m:d>
              <m:ctrlPr>
                <w:rPr>
                  <w:rFonts w:ascii="Cambria Math" w:hAnsi="Cambria Math"/>
                  <w:i/>
                  <w:lang w:val="zh-CN"/>
                </w:rPr>
              </m:ctrlPr>
            </m:e>
          </m:eqArr>
        </m:oMath>
      </m:oMathPara>
    </w:p>
    <w:p w14:paraId="05F1AF11">
      <w:pPr>
        <w:spacing w:after="0"/>
        <w:ind w:left="284"/>
        <w:rPr>
          <w:lang w:val="zh-CN"/>
        </w:rPr>
      </w:pPr>
      <w:r>
        <w:rPr>
          <w:lang w:val="zh-CN"/>
        </w:rPr>
        <w:t xml:space="preserve">di mana </w:t>
      </w:r>
      <m:oMath>
        <m:sSub>
          <m:sSubPr>
            <m:ctrlPr>
              <w:rPr>
                <w:rFonts w:ascii="Cambria Math" w:hAnsi="Cambria Math"/>
                <w:lang w:val="zh-CN"/>
              </w:rPr>
            </m:ctrlPr>
          </m:sSubPr>
          <m:e>
            <m:r>
              <m:rPr/>
              <w:rPr>
                <w:rFonts w:ascii="Cambria Math" w:hAnsi="Cambria Math"/>
                <w:lang w:val="zh-CN"/>
              </w:rPr>
              <m:t>y</m:t>
            </m:r>
            <m:ctrlPr>
              <w:rPr>
                <w:rFonts w:ascii="Cambria Math" w:hAnsi="Cambria Math"/>
                <w:lang w:val="zh-CN"/>
              </w:rPr>
            </m:ctrlPr>
          </m:e>
          <m:sub>
            <m:r>
              <m:rPr/>
              <w:rPr>
                <w:rFonts w:ascii="Cambria Math" w:hAnsi="Cambria Math"/>
                <w:lang w:val="zh-CN"/>
              </w:rPr>
              <m:t>i</m:t>
            </m:r>
            <m:ctrlPr>
              <w:rPr>
                <w:rFonts w:ascii="Cambria Math" w:hAnsi="Cambria Math"/>
                <w:lang w:val="zh-CN"/>
              </w:rPr>
            </m:ctrlPr>
          </m:sub>
        </m:sSub>
      </m:oMath>
      <w:r>
        <w:rPr>
          <w:lang w:val="zh-CN"/>
        </w:rPr>
        <w:t xml:space="preserve"> adalah nilai observasi, </w:t>
      </w:r>
      <m:oMath>
        <m:sSub>
          <m:sSubPr>
            <m:ctrlPr>
              <w:rPr>
                <w:rFonts w:ascii="Cambria Math" w:hAnsi="Cambria Math"/>
                <w:lang w:val="zh-CN"/>
              </w:rPr>
            </m:ctrlPr>
          </m:sSubPr>
          <m:e>
            <m:r>
              <m:rPr/>
              <w:rPr>
                <w:rFonts w:ascii="Cambria Math" w:hAnsi="Cambria Math"/>
                <w:lang w:val="zh-CN"/>
              </w:rPr>
              <m:t>y</m:t>
            </m:r>
            <m:ctrlPr>
              <w:rPr>
                <w:rFonts w:ascii="Cambria Math" w:hAnsi="Cambria Math"/>
                <w:lang w:val="zh-CN"/>
              </w:rPr>
            </m:ctrlPr>
          </m:e>
          <m:sub>
            <m:r>
              <m:rPr/>
              <w:rPr>
                <w:rFonts w:ascii="Cambria Math" w:hAnsi="Cambria Math"/>
                <w:lang w:val="zh-CN"/>
              </w:rPr>
              <m:t>i</m:t>
            </m:r>
            <m:ctrlPr>
              <w:rPr>
                <w:rFonts w:ascii="Cambria Math" w:hAnsi="Cambria Math"/>
                <w:lang w:val="zh-CN"/>
              </w:rPr>
            </m:ctrlPr>
          </m:sub>
        </m:sSub>
      </m:oMath>
      <w:r>
        <w:rPr>
          <w:lang w:val="zh-CN"/>
        </w:rPr>
        <w:t xml:space="preserve"> adalah nilai prediksi, dan </w:t>
      </w:r>
      <m:oMath>
        <m:r>
          <m:rPr/>
          <w:rPr>
            <w:rFonts w:ascii="Cambria Math" w:hAnsi="Cambria Math"/>
            <w:lang w:val="zh-CN"/>
          </w:rPr>
          <m:t>n</m:t>
        </m:r>
      </m:oMath>
      <w:r>
        <w:rPr>
          <w:lang w:val="zh-CN"/>
        </w:rPr>
        <w:t xml:space="preserve"> adalah jumlah sampel. RMSE memberikan penalti lebih besar terhadap kesalahan besar karena sifat kuadratiknya, sehingga lebih sensitif terhadap outlier.</w:t>
      </w:r>
    </w:p>
    <w:p w14:paraId="23D5E2B0">
      <w:pPr>
        <w:spacing w:after="0"/>
        <w:ind w:left="284"/>
        <w:rPr>
          <w:lang w:val="zh-CN"/>
        </w:rPr>
      </w:pPr>
      <w:r>
        <w:rPr>
          <w:lang w:val="zh-CN"/>
        </w:rPr>
        <w:t>MAE dihitung sebagai:</w:t>
      </w:r>
    </w:p>
    <w:p w14:paraId="5F6646AA">
      <w:pPr>
        <w:spacing w:after="0"/>
        <w:rPr>
          <w:lang w:val="zh-CN"/>
        </w:rPr>
      </w:pPr>
      <m:oMathPara>
        <m:oMath>
          <m:eqArr>
            <m:eqArrPr>
              <m:maxDist m:val="1"/>
              <m:ctrlPr>
                <w:rPr>
                  <w:rFonts w:ascii="Cambria Math" w:hAnsi="Cambria Math"/>
                  <w:i/>
                  <w:lang w:val="zh-CN"/>
                </w:rPr>
              </m:ctrlPr>
            </m:eqArrPr>
            <m:e>
              <m:r>
                <m:rPr/>
                <w:rPr>
                  <w:rFonts w:ascii="Cambria Math" w:hAnsi="Cambria Math"/>
                  <w:lang w:val="zh-CN"/>
                </w:rPr>
                <m:t>MAE=</m:t>
              </m:r>
              <m:f>
                <m:fPr>
                  <m:ctrlPr>
                    <w:rPr>
                      <w:rFonts w:ascii="Cambria Math" w:hAnsi="Cambria Math"/>
                      <w:lang w:val="zh-CN"/>
                    </w:rPr>
                  </m:ctrlPr>
                </m:fPr>
                <m:num>
                  <m:r>
                    <m:rPr/>
                    <w:rPr>
                      <w:rFonts w:ascii="Cambria Math" w:hAnsi="Cambria Math"/>
                      <w:lang w:val="zh-CN"/>
                    </w:rPr>
                    <m:t>1</m:t>
                  </m:r>
                  <m:ctrlPr>
                    <w:rPr>
                      <w:rFonts w:ascii="Cambria Math" w:hAnsi="Cambria Math"/>
                      <w:i/>
                      <w:lang w:val="zh-CN"/>
                    </w:rPr>
                  </m:ctrlPr>
                </m:num>
                <m:den>
                  <m:r>
                    <m:rPr/>
                    <w:rPr>
                      <w:rFonts w:ascii="Cambria Math" w:hAnsi="Cambria Math"/>
                      <w:lang w:val="zh-CN"/>
                    </w:rPr>
                    <m:t>n</m:t>
                  </m:r>
                  <m:ctrlPr>
                    <w:rPr>
                      <w:rFonts w:ascii="Cambria Math" w:hAnsi="Cambria Math"/>
                      <w:i/>
                      <w:lang w:val="zh-CN"/>
                    </w:rPr>
                  </m:ctrlPr>
                </m:den>
              </m:f>
              <m:nary>
                <m:naryPr>
                  <m:chr m:val="∑"/>
                  <m:ctrlPr>
                    <w:rPr>
                      <w:rFonts w:ascii="Cambria Math" w:hAnsi="Cambria Math"/>
                      <w:lang w:val="zh-CN"/>
                    </w:rPr>
                  </m:ctrlPr>
                </m:naryPr>
                <m:sub>
                  <m:r>
                    <m:rPr/>
                    <w:rPr>
                      <w:rFonts w:ascii="Cambria Math" w:hAnsi="Cambria Math"/>
                      <w:lang w:val="zh-CN"/>
                    </w:rPr>
                    <m:t>i=1</m:t>
                  </m:r>
                  <m:ctrlPr>
                    <w:rPr>
                      <w:rFonts w:ascii="Cambria Math" w:hAnsi="Cambria Math"/>
                      <w:i/>
                      <w:lang w:val="zh-CN"/>
                    </w:rPr>
                  </m:ctrlPr>
                </m:sub>
                <m:sup>
                  <m:r>
                    <m:rPr/>
                    <w:rPr>
                      <w:rFonts w:ascii="Cambria Math" w:hAnsi="Cambria Math"/>
                      <w:lang w:val="zh-CN"/>
                    </w:rPr>
                    <m:t>n</m:t>
                  </m:r>
                  <m:ctrlPr>
                    <w:rPr>
                      <w:rFonts w:ascii="Cambria Math" w:hAnsi="Cambria Math"/>
                      <w:i/>
                      <w:lang w:val="zh-CN"/>
                    </w:rPr>
                  </m:ctrlPr>
                </m:sup>
                <m:e>
                  <m:r>
                    <m:rPr/>
                    <w:rPr>
                      <w:rFonts w:ascii="Cambria Math" w:hAnsi="Cambria Math"/>
                      <w:lang w:val="zh-CN"/>
                    </w:rPr>
                    <m:t>|</m:t>
                  </m:r>
                  <m:ctrlPr>
                    <w:rPr>
                      <w:rFonts w:ascii="Cambria Math" w:hAnsi="Cambria Math"/>
                      <w:i/>
                      <w:lang w:val="zh-CN"/>
                    </w:rPr>
                  </m:ctrlPr>
                </m:e>
              </m:nary>
              <m:sSub>
                <m:sSubPr>
                  <m:ctrlPr>
                    <w:rPr>
                      <w:rFonts w:ascii="Cambria Math" w:hAnsi="Cambria Math"/>
                      <w:i/>
                      <w:lang w:val="zh-CN"/>
                    </w:rPr>
                  </m:ctrlPr>
                </m:sSubPr>
                <m:e>
                  <m:r>
                    <m:rPr/>
                    <w:rPr>
                      <w:rFonts w:ascii="Cambria Math" w:hAnsi="Cambria Math"/>
                      <w:lang w:val="zh-CN"/>
                    </w:rPr>
                    <m:t>y</m:t>
                  </m:r>
                  <m:ctrlPr>
                    <w:rPr>
                      <w:rFonts w:ascii="Cambria Math" w:hAnsi="Cambria Math"/>
                      <w:i/>
                      <w:lang w:val="zh-CN"/>
                    </w:rPr>
                  </m:ctrlPr>
                </m:e>
                <m:sub>
                  <m:r>
                    <m:rPr/>
                    <w:rPr>
                      <w:rFonts w:ascii="Cambria Math" w:hAnsi="Cambria Math"/>
                      <w:lang w:val="zh-CN"/>
                    </w:rPr>
                    <m:t>i</m:t>
                  </m:r>
                  <m:ctrlPr>
                    <w:rPr>
                      <w:rFonts w:ascii="Cambria Math" w:hAnsi="Cambria Math"/>
                      <w:i/>
                      <w:lang w:val="zh-CN"/>
                    </w:rPr>
                  </m:ctrlPr>
                </m:sub>
              </m:sSub>
              <m:r>
                <m:rPr/>
                <w:rPr>
                  <w:rFonts w:ascii="Cambria Math" w:hAnsi="Cambria Math"/>
                  <w:lang w:val="zh-CN"/>
                </w:rPr>
                <m:t>−</m:t>
              </m:r>
              <m:acc>
                <m:accPr>
                  <m:ctrlPr>
                    <w:rPr>
                      <w:rFonts w:ascii="Cambria Math" w:hAnsi="Cambria Math"/>
                      <w:lang w:val="zh-CN"/>
                    </w:rPr>
                  </m:ctrlPr>
                </m:accPr>
                <m:e>
                  <m:sSub>
                    <m:sSubPr>
                      <m:ctrlPr>
                        <w:rPr>
                          <w:rFonts w:ascii="Cambria Math" w:hAnsi="Cambria Math"/>
                          <w:i/>
                          <w:lang w:val="zh-CN"/>
                        </w:rPr>
                      </m:ctrlPr>
                    </m:sSubPr>
                    <m:e>
                      <m:r>
                        <m:rPr/>
                        <w:rPr>
                          <w:rFonts w:ascii="Cambria Math" w:hAnsi="Cambria Math"/>
                          <w:lang w:val="zh-CN"/>
                        </w:rPr>
                        <m:t>y</m:t>
                      </m:r>
                      <m:ctrlPr>
                        <w:rPr>
                          <w:rFonts w:ascii="Cambria Math" w:hAnsi="Cambria Math"/>
                          <w:lang w:val="zh-CN"/>
                        </w:rPr>
                      </m:ctrlPr>
                    </m:e>
                    <m:sub>
                      <m:r>
                        <m:rPr/>
                        <w:rPr>
                          <w:rFonts w:ascii="Cambria Math" w:hAnsi="Cambria Math"/>
                          <w:lang w:val="zh-CN"/>
                        </w:rPr>
                        <m:t>i</m:t>
                      </m:r>
                      <m:ctrlPr>
                        <w:rPr>
                          <w:rFonts w:ascii="Cambria Math" w:hAnsi="Cambria Math"/>
                          <w:i/>
                          <w:lang w:val="zh-CN"/>
                        </w:rPr>
                      </m:ctrlPr>
                    </m:sub>
                  </m:sSub>
                  <m:ctrlPr>
                    <w:rPr>
                      <w:rFonts w:ascii="Cambria Math" w:hAnsi="Cambria Math"/>
                      <w:lang w:val="zh-CN"/>
                    </w:rPr>
                  </m:ctrlPr>
                </m:e>
              </m:acc>
              <m:r>
                <m:rPr/>
                <w:rPr>
                  <w:rFonts w:ascii="Cambria Math" w:hAnsi="Cambria Math"/>
                  <w:lang w:val="zh-CN"/>
                </w:rPr>
                <m:t xml:space="preserve"> |#</m:t>
              </m:r>
              <m:d>
                <m:dPr>
                  <m:ctrlPr>
                    <w:rPr>
                      <w:rFonts w:ascii="Cambria Math" w:hAnsi="Cambria Math"/>
                      <w:i/>
                      <w:lang w:val="zh-CN"/>
                    </w:rPr>
                  </m:ctrlPr>
                </m:dPr>
                <m:e>
                  <m:r>
                    <m:rPr/>
                    <w:rPr>
                      <w:rFonts w:ascii="Cambria Math" w:hAnsi="Cambria Math"/>
                      <w:lang w:val="zh-CN"/>
                    </w:rPr>
                    <m:t>2.8</m:t>
                  </m:r>
                  <m:ctrlPr>
                    <w:rPr>
                      <w:rFonts w:ascii="Cambria Math" w:hAnsi="Cambria Math"/>
                      <w:i/>
                      <w:lang w:val="zh-CN"/>
                    </w:rPr>
                  </m:ctrlPr>
                </m:e>
              </m:d>
              <m:ctrlPr>
                <w:rPr>
                  <w:rFonts w:ascii="Cambria Math" w:hAnsi="Cambria Math"/>
                  <w:i/>
                  <w:lang w:val="zh-CN"/>
                </w:rPr>
              </m:ctrlPr>
            </m:e>
          </m:eqArr>
        </m:oMath>
      </m:oMathPara>
    </w:p>
    <w:p w14:paraId="71B1C198">
      <w:pPr>
        <w:spacing w:after="0"/>
        <w:ind w:left="284" w:firstLine="720"/>
        <w:rPr>
          <w:lang w:val="zh-CN"/>
        </w:rPr>
      </w:pPr>
      <w:r>
        <w:rPr>
          <w:lang w:val="zh-CN"/>
        </w:rPr>
        <w:t xml:space="preserve">Metrik ini mengukur kesalahan rata-rata secara linear dan lebih robust terhadap outlier dibandingkan RMSE </w:t>
      </w:r>
      <w:r>
        <w:rPr>
          <w:lang w:val="zh-CN"/>
        </w:rPr>
        <w:fldChar w:fldCharType="begin" w:fldLock="1"/>
      </w:r>
      <w:r>
        <w:rPr>
          <w:lang w:val="zh-CN"/>
        </w:rPr>
        <w:instrText xml:space="preserve">ADDIN CSL_CITATION {"citationItems":[{"id":"ITEM-1","itemData":{"DOI":"10.3390/w13243528","abstract":"Rainfall–runoff modelling has been at the essence of research in hydrology for a long time. Every modern technique found its way to uncover the dynamics of rainfall–runoff relation for different basins of the world. Different techniques of machine learning have been extensively applied to understand this hydrological phenomenon. However, the literature is still scarce in cases of extensive research work on the comparison of streamline machine learning (ML) techniques and impact of wavelet pre-processing on their performance. Therefore, this study compares the performance of single decision tree (SDT), tree boost (TB), decision tree forest (DTF), multilayer perceptron (MLP), and gene expression programming (GEP) in rainfall–runoff modelling of the Soan River basin, Pakistan. Additionally, the impact of wavelet pre-processing through maximal overlap discrete wavelet transformation (MODWT) on the model performance has been assessed. Through a comprehensive comparative analysis of 110 model settings, we concluded that the MODWT-based DTF model has yielded higher Nash–Sutcliffe efficiency (NSE) of 0.90 at lag order (Lo4). The coefficient of determination for the model was also highest among all the models while least root mean square error (RMSE) value of 23.79 m3/s was also produced by MODWT-DTF at Lo4. The study also draws inter-technique comparison of the model performance as well as intra-technique differentiation of modelling accuracy.","author":[{"dropping-particle":"","family":"Khan","given":"Muhammad Tariq","non-dropping-particle":"","parse-names":false,"suffix":""},{"dropping-particle":"","family":"Shoaib","given":"Muhammad","non-dropping-particle":"","parse-names":false,"suffix":""},{"dropping-particle":"","family":"Hammad","given":"Muhammad","non-dropping-particle":"","parse-names":false,"suffix":""},{"dropping-particle":"","family":"Salahudin","given":"Hamza","non-dropping-particle":"","parse-names":false,"suffix":""},{"dropping-particle":"","family":"Ahmad","given":"Fiaz","non-dropping-particle":"","parse-names":false,"suffix":""},{"dropping-particle":"","family":"Ahmad","given":"Shakil","non-dropping-particle":"","parse-names":false,"suffix":""}],"container-title":"Water","id":"ITEM-1","issue":"24","issued":{"date-parts":[["2021"]]},"page":"3528","title":"Application of Machine Learning Techniques in Rainfall–Runoff Modelling of the Soan River Basin, Pakistan","type":"article-journal","volume":"13"},"uris":["http://www.mendeley.com/documents/?uuid=c6bb1e1b-51e8-45cd-a15e-17dabcd555c0"]}],"mendeley":{"formattedCitation":"(Khan dkk., 2021)","manualFormatting":"(Khan dkk., 2021)","plainTextFormattedCitation":"(Khan dkk., 2021)","previouslyFormattedCitation":"(Khan &lt;i&gt;et al.&lt;/i&gt;, 2021)"},"properties":{"noteIndex":0},"schema":"https://github.com/citation-style-language/schema/raw/master/csl-citation.json"}</w:instrText>
      </w:r>
      <w:r>
        <w:rPr>
          <w:lang w:val="zh-CN"/>
        </w:rPr>
        <w:fldChar w:fldCharType="separate"/>
      </w:r>
      <w:r>
        <w:rPr>
          <w:lang w:val="zh-CN"/>
        </w:rPr>
        <w:t>(Khan dkk., 2021)</w:t>
      </w:r>
      <w:r>
        <w:rPr>
          <w:lang w:val="zh-CN"/>
        </w:rPr>
        <w:fldChar w:fldCharType="end"/>
      </w:r>
      <w:r>
        <w:rPr>
          <w:lang w:val="zh-CN"/>
        </w:rPr>
        <w:t>. Koefisien determinasi (</w:t>
      </w:r>
      <m:oMath>
        <m:sSup>
          <m:sSupPr>
            <m:ctrlPr>
              <w:rPr>
                <w:rFonts w:ascii="Cambria Math" w:hAnsi="Cambria Math"/>
                <w:lang w:val="zh-CN"/>
              </w:rPr>
            </m:ctrlPr>
          </m:sSupPr>
          <m:e>
            <m:r>
              <m:rPr/>
              <w:rPr>
                <w:rFonts w:ascii="Cambria Math" w:hAnsi="Cambria Math"/>
                <w:lang w:val="zh-CN"/>
              </w:rPr>
              <m:t>R</m:t>
            </m:r>
            <m:ctrlPr>
              <w:rPr>
                <w:rFonts w:ascii="Cambria Math" w:hAnsi="Cambria Math"/>
                <w:lang w:val="zh-CN"/>
              </w:rPr>
            </m:ctrlPr>
          </m:e>
          <m:sup>
            <m:r>
              <m:rPr>
                <m:sty m:val="p"/>
              </m:rPr>
              <w:rPr>
                <w:rFonts w:ascii="Cambria Math" w:hAnsi="Cambria Math"/>
                <w:lang w:val="zh-CN"/>
              </w:rPr>
              <m:t>2</m:t>
            </m:r>
            <m:ctrlPr>
              <w:rPr>
                <w:rFonts w:ascii="Cambria Math" w:hAnsi="Cambria Math"/>
                <w:lang w:val="zh-CN"/>
              </w:rPr>
            </m:ctrlPr>
          </m:sup>
        </m:sSup>
      </m:oMath>
      <w:r>
        <w:rPr>
          <w:lang w:val="zh-CN"/>
        </w:rPr>
        <w:t>) dirumuskan sebagai:</w:t>
      </w:r>
    </w:p>
    <w:p w14:paraId="4B5CDC41">
      <w:pPr>
        <w:spacing w:after="0"/>
        <w:rPr>
          <w:lang w:val="zh-CN"/>
        </w:rPr>
      </w:pPr>
      <m:oMathPara>
        <m:oMath>
          <m:eqArr>
            <m:eqArrPr>
              <m:maxDist m:val="1"/>
              <m:ctrlPr>
                <w:rPr>
                  <w:rFonts w:ascii="Cambria Math" w:hAnsi="Cambria Math"/>
                  <w:i/>
                  <w:lang w:val="zh-CN"/>
                </w:rPr>
              </m:ctrlPr>
            </m:eqArrPr>
            <m:e>
              <m:sSup>
                <m:sSupPr>
                  <m:ctrlPr>
                    <w:rPr>
                      <w:rFonts w:ascii="Cambria Math" w:hAnsi="Cambria Math"/>
                      <w:i/>
                      <w:lang w:val="zh-CN"/>
                    </w:rPr>
                  </m:ctrlPr>
                </m:sSupPr>
                <m:e>
                  <m:r>
                    <m:rPr/>
                    <w:rPr>
                      <w:rFonts w:ascii="Cambria Math" w:hAnsi="Cambria Math"/>
                      <w:lang w:val="zh-CN"/>
                    </w:rPr>
                    <m:t>R</m:t>
                  </m:r>
                  <m:ctrlPr>
                    <w:rPr>
                      <w:rFonts w:ascii="Cambria Math" w:hAnsi="Cambria Math"/>
                      <w:i/>
                      <w:lang w:val="zh-CN"/>
                    </w:rPr>
                  </m:ctrlPr>
                </m:e>
                <m:sup>
                  <m:r>
                    <m:rPr/>
                    <w:rPr>
                      <w:rFonts w:ascii="Cambria Math" w:hAnsi="Cambria Math"/>
                      <w:lang w:val="zh-CN"/>
                    </w:rPr>
                    <m:t>2</m:t>
                  </m:r>
                  <m:ctrlPr>
                    <w:rPr>
                      <w:rFonts w:ascii="Cambria Math" w:hAnsi="Cambria Math"/>
                      <w:i/>
                      <w:lang w:val="zh-CN"/>
                    </w:rPr>
                  </m:ctrlPr>
                </m:sup>
              </m:sSup>
              <m:r>
                <m:rPr/>
                <w:rPr>
                  <w:rFonts w:ascii="Cambria Math" w:hAnsi="Cambria Math"/>
                  <w:lang w:val="zh-CN"/>
                </w:rPr>
                <m:t>=1−</m:t>
              </m:r>
              <m:f>
                <m:fPr>
                  <m:ctrlPr>
                    <w:rPr>
                      <w:rFonts w:ascii="Cambria Math" w:hAnsi="Cambria Math"/>
                      <w:lang w:val="zh-CN"/>
                    </w:rPr>
                  </m:ctrlPr>
                </m:fPr>
                <m:num>
                  <m:nary>
                    <m:naryPr>
                      <m:chr m:val="∑"/>
                      <m:ctrlPr>
                        <w:rPr>
                          <w:rFonts w:ascii="Cambria Math" w:hAnsi="Cambria Math"/>
                          <w:lang w:val="zh-CN"/>
                        </w:rPr>
                      </m:ctrlPr>
                    </m:naryPr>
                    <m:sub>
                      <m:r>
                        <m:rPr/>
                        <w:rPr>
                          <w:rFonts w:ascii="Cambria Math" w:hAnsi="Cambria Math"/>
                          <w:lang w:val="zh-CN"/>
                        </w:rPr>
                        <m:t>i=1</m:t>
                      </m:r>
                      <m:ctrlPr>
                        <w:rPr>
                          <w:rFonts w:ascii="Cambria Math" w:hAnsi="Cambria Math"/>
                          <w:i/>
                          <w:lang w:val="zh-CN"/>
                        </w:rPr>
                      </m:ctrlPr>
                    </m:sub>
                    <m:sup>
                      <m:r>
                        <m:rPr/>
                        <w:rPr>
                          <w:rFonts w:ascii="Cambria Math" w:hAnsi="Cambria Math"/>
                          <w:lang w:val="zh-CN"/>
                        </w:rPr>
                        <m:t>n</m:t>
                      </m:r>
                      <m:ctrlPr>
                        <w:rPr>
                          <w:rFonts w:ascii="Cambria Math" w:hAnsi="Cambria Math"/>
                          <w:i/>
                          <w:lang w:val="zh-CN"/>
                        </w:rPr>
                      </m:ctrlPr>
                    </m:sup>
                    <m:e>
                      <m:sSup>
                        <m:sSupPr>
                          <m:ctrlPr>
                            <w:rPr>
                              <w:rFonts w:ascii="Cambria Math" w:hAnsi="Cambria Math"/>
                              <w:i/>
                              <w:lang w:val="zh-CN"/>
                            </w:rPr>
                          </m:ctrlPr>
                        </m:sSupPr>
                        <m:e>
                          <m:d>
                            <m:dPr>
                              <m:ctrlPr>
                                <w:rPr>
                                  <w:rFonts w:ascii="Cambria Math" w:hAnsi="Cambria Math"/>
                                  <w:i/>
                                  <w:lang w:val="zh-CN"/>
                                </w:rPr>
                              </m:ctrlPr>
                            </m:dPr>
                            <m:e>
                              <m:sSub>
                                <m:sSubPr>
                                  <m:ctrlPr>
                                    <w:rPr>
                                      <w:rFonts w:ascii="Cambria Math" w:hAnsi="Cambria Math"/>
                                      <w:i/>
                                      <w:lang w:val="zh-CN"/>
                                    </w:rPr>
                                  </m:ctrlPr>
                                </m:sSubPr>
                                <m:e>
                                  <m:r>
                                    <m:rPr/>
                                    <w:rPr>
                                      <w:rFonts w:ascii="Cambria Math" w:hAnsi="Cambria Math"/>
                                      <w:lang w:val="zh-CN"/>
                                    </w:rPr>
                                    <m:t>y</m:t>
                                  </m:r>
                                  <m:ctrlPr>
                                    <w:rPr>
                                      <w:rFonts w:ascii="Cambria Math" w:hAnsi="Cambria Math"/>
                                      <w:i/>
                                      <w:lang w:val="zh-CN"/>
                                    </w:rPr>
                                  </m:ctrlPr>
                                </m:e>
                                <m:sub>
                                  <m:r>
                                    <m:rPr/>
                                    <w:rPr>
                                      <w:rFonts w:ascii="Cambria Math" w:hAnsi="Cambria Math"/>
                                      <w:lang w:val="zh-CN"/>
                                    </w:rPr>
                                    <m:t>i</m:t>
                                  </m:r>
                                  <m:ctrlPr>
                                    <w:rPr>
                                      <w:rFonts w:ascii="Cambria Math" w:hAnsi="Cambria Math"/>
                                      <w:i/>
                                      <w:lang w:val="zh-CN"/>
                                    </w:rPr>
                                  </m:ctrlPr>
                                </m:sub>
                              </m:sSub>
                              <m:r>
                                <m:rPr/>
                                <w:rPr>
                                  <w:rFonts w:ascii="Cambria Math" w:hAnsi="Cambria Math"/>
                                  <w:lang w:val="zh-CN"/>
                                </w:rPr>
                                <m:t>−</m:t>
                              </m:r>
                              <m:acc>
                                <m:accPr>
                                  <m:ctrlPr>
                                    <w:rPr>
                                      <w:rFonts w:ascii="Cambria Math" w:hAnsi="Cambria Math"/>
                                      <w:lang w:val="zh-CN"/>
                                    </w:rPr>
                                  </m:ctrlPr>
                                </m:accPr>
                                <m:e>
                                  <m:sSub>
                                    <m:sSubPr>
                                      <m:ctrlPr>
                                        <w:rPr>
                                          <w:rFonts w:ascii="Cambria Math" w:hAnsi="Cambria Math"/>
                                          <w:i/>
                                          <w:lang w:val="zh-CN"/>
                                        </w:rPr>
                                      </m:ctrlPr>
                                    </m:sSubPr>
                                    <m:e>
                                      <m:r>
                                        <m:rPr/>
                                        <w:rPr>
                                          <w:rFonts w:ascii="Cambria Math" w:hAnsi="Cambria Math"/>
                                          <w:lang w:val="zh-CN"/>
                                        </w:rPr>
                                        <m:t>y</m:t>
                                      </m:r>
                                      <m:ctrlPr>
                                        <w:rPr>
                                          <w:rFonts w:ascii="Cambria Math" w:hAnsi="Cambria Math"/>
                                          <w:lang w:val="zh-CN"/>
                                        </w:rPr>
                                      </m:ctrlPr>
                                    </m:e>
                                    <m:sub>
                                      <m:r>
                                        <m:rPr/>
                                        <w:rPr>
                                          <w:rFonts w:ascii="Cambria Math" w:hAnsi="Cambria Math"/>
                                          <w:lang w:val="zh-CN"/>
                                        </w:rPr>
                                        <m:t>i</m:t>
                                      </m:r>
                                      <m:ctrlPr>
                                        <w:rPr>
                                          <w:rFonts w:ascii="Cambria Math" w:hAnsi="Cambria Math"/>
                                          <w:i/>
                                          <w:lang w:val="zh-CN"/>
                                        </w:rPr>
                                      </m:ctrlPr>
                                    </m:sub>
                                  </m:sSub>
                                  <m:ctrlPr>
                                    <w:rPr>
                                      <w:rFonts w:ascii="Cambria Math" w:hAnsi="Cambria Math"/>
                                      <w:lang w:val="zh-CN"/>
                                    </w:rPr>
                                  </m:ctrlPr>
                                </m:e>
                              </m:acc>
                              <m:ctrlPr>
                                <w:rPr>
                                  <w:rFonts w:ascii="Cambria Math" w:hAnsi="Cambria Math"/>
                                  <w:i/>
                                  <w:lang w:val="zh-CN"/>
                                </w:rPr>
                              </m:ctrlPr>
                            </m:e>
                          </m:d>
                          <m:ctrlPr>
                            <w:rPr>
                              <w:rFonts w:ascii="Cambria Math" w:hAnsi="Cambria Math"/>
                              <w:i/>
                              <w:lang w:val="zh-CN"/>
                            </w:rPr>
                          </m:ctrlPr>
                        </m:e>
                        <m:sup>
                          <m:r>
                            <m:rPr/>
                            <w:rPr>
                              <w:rFonts w:ascii="Cambria Math" w:hAnsi="Cambria Math"/>
                              <w:lang w:val="zh-CN"/>
                            </w:rPr>
                            <m:t>2</m:t>
                          </m:r>
                          <m:ctrlPr>
                            <w:rPr>
                              <w:rFonts w:ascii="Cambria Math" w:hAnsi="Cambria Math"/>
                              <w:i/>
                              <w:lang w:val="zh-CN"/>
                            </w:rPr>
                          </m:ctrlPr>
                        </m:sup>
                      </m:sSup>
                      <m:ctrlPr>
                        <w:rPr>
                          <w:rFonts w:ascii="Cambria Math" w:hAnsi="Cambria Math"/>
                          <w:i/>
                          <w:lang w:val="zh-CN"/>
                        </w:rPr>
                      </m:ctrlPr>
                    </m:e>
                  </m:nary>
                  <m:ctrlPr>
                    <w:rPr>
                      <w:rFonts w:ascii="Cambria Math" w:hAnsi="Cambria Math"/>
                      <w:i/>
                      <w:lang w:val="zh-CN"/>
                    </w:rPr>
                  </m:ctrlPr>
                </m:num>
                <m:den>
                  <m:nary>
                    <m:naryPr>
                      <m:chr m:val="∑"/>
                      <m:ctrlPr>
                        <w:rPr>
                          <w:rFonts w:ascii="Cambria Math" w:hAnsi="Cambria Math"/>
                          <w:lang w:val="zh-CN"/>
                        </w:rPr>
                      </m:ctrlPr>
                    </m:naryPr>
                    <m:sub>
                      <m:r>
                        <m:rPr/>
                        <w:rPr>
                          <w:rFonts w:ascii="Cambria Math" w:hAnsi="Cambria Math"/>
                          <w:lang w:val="zh-CN"/>
                        </w:rPr>
                        <m:t>i=1</m:t>
                      </m:r>
                      <m:ctrlPr>
                        <w:rPr>
                          <w:rFonts w:ascii="Cambria Math" w:hAnsi="Cambria Math"/>
                          <w:i/>
                          <w:lang w:val="zh-CN"/>
                        </w:rPr>
                      </m:ctrlPr>
                    </m:sub>
                    <m:sup>
                      <m:r>
                        <m:rPr/>
                        <w:rPr>
                          <w:rFonts w:ascii="Cambria Math" w:hAnsi="Cambria Math"/>
                          <w:lang w:val="zh-CN"/>
                        </w:rPr>
                        <m:t>n</m:t>
                      </m:r>
                      <m:ctrlPr>
                        <w:rPr>
                          <w:rFonts w:ascii="Cambria Math" w:hAnsi="Cambria Math"/>
                          <w:i/>
                          <w:lang w:val="zh-CN"/>
                        </w:rPr>
                      </m:ctrlPr>
                    </m:sup>
                    <m:e>
                      <m:sSup>
                        <m:sSupPr>
                          <m:ctrlPr>
                            <w:rPr>
                              <w:rFonts w:ascii="Cambria Math" w:hAnsi="Cambria Math"/>
                              <w:i/>
                              <w:lang w:val="zh-CN"/>
                            </w:rPr>
                          </m:ctrlPr>
                        </m:sSupPr>
                        <m:e>
                          <m:d>
                            <m:dPr>
                              <m:ctrlPr>
                                <w:rPr>
                                  <w:rFonts w:ascii="Cambria Math" w:hAnsi="Cambria Math"/>
                                  <w:i/>
                                  <w:lang w:val="zh-CN"/>
                                </w:rPr>
                              </m:ctrlPr>
                            </m:dPr>
                            <m:e>
                              <m:sSub>
                                <m:sSubPr>
                                  <m:ctrlPr>
                                    <w:rPr>
                                      <w:rFonts w:ascii="Cambria Math" w:hAnsi="Cambria Math"/>
                                      <w:i/>
                                      <w:lang w:val="zh-CN"/>
                                    </w:rPr>
                                  </m:ctrlPr>
                                </m:sSubPr>
                                <m:e>
                                  <m:r>
                                    <m:rPr/>
                                    <w:rPr>
                                      <w:rFonts w:ascii="Cambria Math" w:hAnsi="Cambria Math"/>
                                      <w:lang w:val="zh-CN"/>
                                    </w:rPr>
                                    <m:t>y</m:t>
                                  </m:r>
                                  <m:ctrlPr>
                                    <w:rPr>
                                      <w:rFonts w:ascii="Cambria Math" w:hAnsi="Cambria Math"/>
                                      <w:i/>
                                      <w:lang w:val="zh-CN"/>
                                    </w:rPr>
                                  </m:ctrlPr>
                                </m:e>
                                <m:sub>
                                  <m:r>
                                    <m:rPr/>
                                    <w:rPr>
                                      <w:rFonts w:ascii="Cambria Math" w:hAnsi="Cambria Math"/>
                                      <w:lang w:val="zh-CN"/>
                                    </w:rPr>
                                    <m:t>i</m:t>
                                  </m:r>
                                  <m:ctrlPr>
                                    <w:rPr>
                                      <w:rFonts w:ascii="Cambria Math" w:hAnsi="Cambria Math"/>
                                      <w:i/>
                                      <w:lang w:val="zh-CN"/>
                                    </w:rPr>
                                  </m:ctrlPr>
                                </m:sub>
                              </m:sSub>
                              <m:r>
                                <m:rPr/>
                                <w:rPr>
                                  <w:rFonts w:ascii="Cambria Math" w:hAnsi="Cambria Math"/>
                                  <w:lang w:val="zh-CN"/>
                                </w:rPr>
                                <m:t>−</m:t>
                              </m:r>
                              <m:acc>
                                <m:accPr>
                                  <m:chr m:val="̅"/>
                                  <m:ctrlPr>
                                    <w:rPr>
                                      <w:rFonts w:ascii="Cambria Math" w:hAnsi="Cambria Math"/>
                                      <w:lang w:val="zh-CN"/>
                                    </w:rPr>
                                  </m:ctrlPr>
                                </m:accPr>
                                <m:e>
                                  <m:r>
                                    <m:rPr/>
                                    <w:rPr>
                                      <w:rFonts w:ascii="Cambria Math" w:hAnsi="Cambria Math"/>
                                      <w:lang w:val="zh-CN"/>
                                    </w:rPr>
                                    <m:t>y</m:t>
                                  </m:r>
                                  <m:ctrlPr>
                                    <w:rPr>
                                      <w:rFonts w:ascii="Cambria Math" w:hAnsi="Cambria Math"/>
                                      <w:lang w:val="zh-CN"/>
                                    </w:rPr>
                                  </m:ctrlPr>
                                </m:e>
                              </m:acc>
                              <m:ctrlPr>
                                <w:rPr>
                                  <w:rFonts w:ascii="Cambria Math" w:hAnsi="Cambria Math"/>
                                  <w:i/>
                                  <w:lang w:val="zh-CN"/>
                                </w:rPr>
                              </m:ctrlPr>
                            </m:e>
                          </m:d>
                          <m:ctrlPr>
                            <w:rPr>
                              <w:rFonts w:ascii="Cambria Math" w:hAnsi="Cambria Math"/>
                              <w:i/>
                              <w:lang w:val="zh-CN"/>
                            </w:rPr>
                          </m:ctrlPr>
                        </m:e>
                        <m:sup>
                          <m:r>
                            <m:rPr/>
                            <w:rPr>
                              <w:rFonts w:ascii="Cambria Math" w:hAnsi="Cambria Math"/>
                              <w:lang w:val="zh-CN"/>
                            </w:rPr>
                            <m:t>2</m:t>
                          </m:r>
                          <m:ctrlPr>
                            <w:rPr>
                              <w:rFonts w:ascii="Cambria Math" w:hAnsi="Cambria Math"/>
                              <w:i/>
                              <w:lang w:val="zh-CN"/>
                            </w:rPr>
                          </m:ctrlPr>
                        </m:sup>
                      </m:sSup>
                      <m:ctrlPr>
                        <w:rPr>
                          <w:rFonts w:ascii="Cambria Math" w:hAnsi="Cambria Math"/>
                          <w:i/>
                          <w:lang w:val="zh-CN"/>
                        </w:rPr>
                      </m:ctrlPr>
                    </m:e>
                  </m:nary>
                  <m:ctrlPr>
                    <w:rPr>
                      <w:rFonts w:ascii="Cambria Math" w:hAnsi="Cambria Math"/>
                      <w:i/>
                      <w:lang w:val="zh-CN"/>
                    </w:rPr>
                  </m:ctrlPr>
                </m:den>
              </m:f>
              <m:r>
                <m:rPr/>
                <w:rPr>
                  <w:rFonts w:ascii="Cambria Math" w:hAnsi="Cambria Math"/>
                  <w:lang w:val="zh-CN"/>
                </w:rPr>
                <m:t>#</m:t>
              </m:r>
              <m:d>
                <m:dPr>
                  <m:ctrlPr>
                    <w:rPr>
                      <w:rFonts w:ascii="Cambria Math" w:hAnsi="Cambria Math"/>
                      <w:i/>
                      <w:lang w:val="zh-CN"/>
                    </w:rPr>
                  </m:ctrlPr>
                </m:dPr>
                <m:e>
                  <m:r>
                    <m:rPr/>
                    <w:rPr>
                      <w:rFonts w:ascii="Cambria Math" w:hAnsi="Cambria Math"/>
                      <w:lang w:val="zh-CN"/>
                    </w:rPr>
                    <m:t>2.9</m:t>
                  </m:r>
                  <m:ctrlPr>
                    <w:rPr>
                      <w:rFonts w:ascii="Cambria Math" w:hAnsi="Cambria Math"/>
                      <w:i/>
                      <w:lang w:val="zh-CN"/>
                    </w:rPr>
                  </m:ctrlPr>
                </m:e>
              </m:d>
              <m:ctrlPr>
                <w:rPr>
                  <w:rFonts w:ascii="Cambria Math" w:hAnsi="Cambria Math"/>
                  <w:i/>
                  <w:lang w:val="zh-CN"/>
                </w:rPr>
              </m:ctrlPr>
            </m:e>
          </m:eqArr>
        </m:oMath>
      </m:oMathPara>
    </w:p>
    <w:p w14:paraId="447A8327">
      <w:pPr>
        <w:spacing w:after="0"/>
        <w:ind w:left="284"/>
        <w:rPr>
          <w:lang w:val="zh-CN"/>
        </w:rPr>
      </w:pPr>
      <w:r>
        <w:rPr>
          <w:lang w:val="zh-CN"/>
        </w:rPr>
        <w:t xml:space="preserve">di mana </w:t>
      </w:r>
      <m:oMath>
        <m:acc>
          <m:accPr>
            <m:chr m:val="̅"/>
            <m:ctrlPr>
              <w:rPr>
                <w:rFonts w:ascii="Cambria Math" w:hAnsi="Cambria Math"/>
                <w:lang w:val="zh-CN"/>
              </w:rPr>
            </m:ctrlPr>
          </m:accPr>
          <m:e>
            <m:r>
              <m:rPr/>
              <w:rPr>
                <w:rFonts w:ascii="Cambria Math" w:hAnsi="Cambria Math"/>
                <w:lang w:val="zh-CN"/>
              </w:rPr>
              <m:t>y</m:t>
            </m:r>
            <m:ctrlPr>
              <w:rPr>
                <w:rFonts w:ascii="Cambria Math" w:hAnsi="Cambria Math"/>
                <w:lang w:val="zh-CN"/>
              </w:rPr>
            </m:ctrlPr>
          </m:e>
        </m:acc>
      </m:oMath>
      <w:r>
        <w:rPr>
          <w:lang w:val="zh-CN"/>
        </w:rPr>
        <w:t xml:space="preserve"> adalah rata-rata nilai observasi. </w:t>
      </w:r>
      <m:oMath>
        <m:sSup>
          <m:sSupPr>
            <m:ctrlPr>
              <w:rPr>
                <w:rFonts w:ascii="Cambria Math" w:hAnsi="Cambria Math"/>
                <w:lang w:val="zh-CN"/>
              </w:rPr>
            </m:ctrlPr>
          </m:sSupPr>
          <m:e>
            <m:r>
              <m:rPr/>
              <w:rPr>
                <w:rFonts w:ascii="Cambria Math" w:hAnsi="Cambria Math"/>
                <w:lang w:val="zh-CN"/>
              </w:rPr>
              <m:t>R</m:t>
            </m:r>
            <m:ctrlPr>
              <w:rPr>
                <w:rFonts w:ascii="Cambria Math" w:hAnsi="Cambria Math"/>
                <w:lang w:val="zh-CN"/>
              </w:rPr>
            </m:ctrlPr>
          </m:e>
          <m:sup>
            <m:r>
              <m:rPr>
                <m:sty m:val="p"/>
              </m:rPr>
              <w:rPr>
                <w:rFonts w:ascii="Cambria Math" w:hAnsi="Cambria Math"/>
                <w:lang w:val="zh-CN"/>
              </w:rPr>
              <m:t>2</m:t>
            </m:r>
            <m:ctrlPr>
              <w:rPr>
                <w:rFonts w:ascii="Cambria Math" w:hAnsi="Cambria Math"/>
                <w:lang w:val="zh-CN"/>
              </w:rPr>
            </m:ctrlPr>
          </m:sup>
        </m:sSup>
      </m:oMath>
      <w:r>
        <w:rPr>
          <w:lang w:val="zh-CN"/>
        </w:rPr>
        <w:t xml:space="preserve"> menunjukkan proporsi variansi data yang dapat dijelaskan oleh model, namun tidak secara langsung mencerminkan besaran kesalahan prediksi </w:t>
      </w:r>
      <w:r>
        <w:rPr>
          <w:lang w:val="zh-CN"/>
        </w:rPr>
        <w:fldChar w:fldCharType="begin" w:fldLock="1"/>
      </w:r>
      <w:r>
        <w:rPr>
          <w:lang w:val="zh-CN"/>
        </w:rPr>
        <w:instrText xml:space="preserve">ADDIN CSL_CITATION {"citationItems":[{"id":"ITEM-1","itemData":{"DOI":"10.1038/s41598-021-82977-9","abstract":"AbstractA noticeable increase in drought frequency and severity has been observed across the globe due to climate change, which attracted scientists in development of drought prediction models for mitigation of impacts. Droughts are usually monitored using drought indices (DIs), most of which are probabilistic and therefore, highly stochastic and non-linear. The current research investigated the capability of different versions of relatively well-explored machine learning (ML) models including random forest (RF), minimum probability machine regression (MPMR), M5 Tree (M5tree), extreme learning machine (ELM) and online sequential-ELM (OSELM) in predicting the most widely used DI known as standardized precipitation index (SPI) at multiple month horizons (i.e., 1, 3, 6 and 12). Models were developed using monthly rainfall data for the period of 1949–2013 at four meteorological stations namely, Barisal, Bogra, Faridpur and Mymensingh, each representing a geographical region of Bangladesh which frequently experiences droughts. The model inputs were decided based on correlation statistics and the prediction capability was evaluated using several statistical metrics including mean square error (MSE), root mean square error (RMSE), mean absolute error (MAE), correlation coefficient (R), Willmott’s Index of agreement (WI), Nash Sutcliffe efficiency (NSE), and Legates and McCabe Index (LM). The results revealed that the proposed models are reliable and robust in predicting droughts in the region. Comparison of the models revealed ELM as the best model in forecasting droughts with minimal RMSE in the range of 0.07–0.85, 0.08–0.76, 0.062–0.80 and 0.042–0.605 for Barisal, Bogra, Faridpur and Mymensingh, respectively for all the SPI scales except one-month SPI for which the RF showed the best performance with minimal RMSE of 0.57, 0.45, 0.59 and 0.42, respectively.","author":[{"dropping-particle":"","family":"Yaseen","given":"Zaher Mundher","non-dropping-particle":"","parse-names":false,"suffix":""},{"dropping-particle":"","family":"Ali","given":"Mumtaz","non-dropping-particle":"","parse-names":false,"suffix":""},{"dropping-particle":"","family":"Sharafati","given":"Ahmad","non-dropping-particle":"","parse-names":false,"suffix":""},{"dropping-particle":"","family":"Al-Ansari","given":"Nadhir","non-dropping-particle":"","parse-names":false,"suffix":""},{"dropping-particle":"","family":"Shahid","given":"Shamsuddin","non-dropping-particle":"","parse-names":false,"suffix":""}],"container-title":"Scientific Reports","id":"ITEM-1","issue":"1","issued":{"date-parts":[["2021"]]},"title":"Forecasting Standardized Precipitation Index Using Data Intelligence Models: Regional Investigation of Bangladesh","type":"article-journal","volume":"11"},"uris":["http://www.mendeley.com/documents/?uuid=660e6e42-a59d-417e-9697-c5520fe15547"]}],"mendeley":{"formattedCitation":"(Yaseen dkk., 2021)","manualFormatting":"(Yaseen dkk., 2021)","plainTextFormattedCitation":"(Yaseen dkk., 2021)","previouslyFormattedCitation":"(Yaseen &lt;i&gt;et al.&lt;/i&gt;, 2021)"},"properties":{"noteIndex":0},"schema":"https://github.com/citation-style-language/schema/raw/master/csl-citation.json"}</w:instrText>
      </w:r>
      <w:r>
        <w:rPr>
          <w:lang w:val="zh-CN"/>
        </w:rPr>
        <w:fldChar w:fldCharType="separate"/>
      </w:r>
      <w:r>
        <w:rPr>
          <w:lang w:val="zh-CN"/>
        </w:rPr>
        <w:t>(Yaseen dkk., 2021)</w:t>
      </w:r>
      <w:r>
        <w:rPr>
          <w:lang w:val="zh-CN"/>
        </w:rPr>
        <w:fldChar w:fldCharType="end"/>
      </w:r>
      <w:r>
        <w:rPr>
          <w:lang w:val="zh-CN"/>
        </w:rPr>
        <w:t>.</w:t>
      </w:r>
    </w:p>
    <w:p w14:paraId="2B064B55">
      <w:pPr>
        <w:spacing w:after="0"/>
        <w:ind w:left="284" w:firstLine="720"/>
        <w:rPr>
          <w:lang w:val="zh-CN"/>
        </w:rPr>
      </w:pPr>
      <w:r>
        <w:rPr>
          <w:lang w:val="zh-CN"/>
        </w:rPr>
        <w:t xml:space="preserve">Secara sederhana, RMSE lebih peka terhadap kesalahan yang besar, MAE menunjukkan rata-rata kesalahan yang umum terjadi, sedangkan </w:t>
      </w:r>
      <m:oMath>
        <m:sSup>
          <m:sSupPr>
            <m:ctrlPr>
              <w:rPr>
                <w:rFonts w:ascii="Cambria Math" w:hAnsi="Cambria Math"/>
                <w:lang w:val="zh-CN"/>
              </w:rPr>
            </m:ctrlPr>
          </m:sSupPr>
          <m:e>
            <m:r>
              <m:rPr/>
              <w:rPr>
                <w:rFonts w:ascii="Cambria Math" w:hAnsi="Cambria Math"/>
                <w:lang w:val="zh-CN"/>
              </w:rPr>
              <m:t>R</m:t>
            </m:r>
            <m:ctrlPr>
              <w:rPr>
                <w:rFonts w:ascii="Cambria Math" w:hAnsi="Cambria Math"/>
                <w:lang w:val="zh-CN"/>
              </w:rPr>
            </m:ctrlPr>
          </m:e>
          <m:sup>
            <m:r>
              <m:rPr>
                <m:sty m:val="p"/>
              </m:rPr>
              <w:rPr>
                <w:rFonts w:ascii="Cambria Math" w:hAnsi="Cambria Math"/>
                <w:lang w:val="zh-CN"/>
              </w:rPr>
              <m:t>2</m:t>
            </m:r>
            <m:ctrlPr>
              <w:rPr>
                <w:rFonts w:ascii="Cambria Math" w:hAnsi="Cambria Math"/>
                <w:lang w:val="zh-CN"/>
              </w:rPr>
            </m:ctrlPr>
          </m:sup>
        </m:sSup>
      </m:oMath>
      <w:r>
        <w:rPr>
          <w:lang w:val="zh-CN"/>
        </w:rPr>
        <w:t xml:space="preserve"> menggambarkan seberapa baik model mengikuti pola data. Karena masing-masing memiliki fokus berbeda, ketiga metrik ini sebaiknya digunakan bersama agar penilaian kinerja model lebih menyeluruh </w:t>
      </w:r>
      <w:r>
        <w:rPr>
          <w:lang w:val="zh-CN"/>
        </w:rPr>
        <w:fldChar w:fldCharType="begin" w:fldLock="1"/>
      </w:r>
      <w:r>
        <w:rPr>
          <w:lang w:val="zh-CN"/>
        </w:rPr>
        <w:instrText xml:space="preserve">ADDIN CSL_CITATION {"citationItems":[{"id":"ITEM-1","itemData":{"abstract":"Determination of pile bearing capacity is essential in pile foundation design. This study focused on the use of evolutionary algorithms to optimize Deep Learning Neural Network (DLNN) algorithm to predict the bearing capacity of driven pile. For this purpose, a Genetic Algorithm (GA) was developed to select the most significant features in the raw dataset. After that, a GA-DLNN hybrid model was developed to select optimal parameters for the DLNN model, including: network algorithm, activation function for hidden neurons, number of hidden layers, and the number of neurons in each hidden layer. A database containing 472 driven pile static load test reports was used. The dataset was divided into three parts, namely the training set (60%), validation (20%) and testing set (20%) for the construction, validation and testing phases of the proposed model, respectively. Various quality assessment criteria, namely the coefficient of determination (R2), Index of Agreement (IA), mean absolute error (MAE) and root mean squared error (RMSE), were used to evaluate the performance of the machine learning (ML) algorithms. The GA-DLNN hybrid model was shown to exhibit the ability to find the most optimal set of parameters for the prediction process.The results showed that the performance of the hybrid model using only the most critical features gave the highest accuracy, compared with those obtained by the hybrid model using all input variables.","author":[{"dropping-particle":"","family":"Pham","given":"Tuan Anh","non-dropping-particle":"","parse-names":false,"suffix":""},{"dropping-particle":"","family":"Tran","given":"Van Quan","non-dropping-particle":"","parse-names":false,"suffix":""},{"dropping-particle":"","family":"Vu","given":"Huong-Lan Thi","non-dropping-particle":"","parse-names":false,"suffix":""},{"dropping-particle":"","family":"Ly","given":"Hai-Bang","non-dropping-particle":"","parse-names":false,"suffix":""}],"container-title":"PLOS ONE","id":"ITEM-1","issue":"12","issued":{"date-parts":[["2020","12","17"]]},"page":"e0243030","publisher":"Public Library of Science","title":"Design deep neural network architecture using a genetic algorithm for estimation of pile bearing capacity","type":"article-journal","volume":"15"},"uris":["http://www.mendeley.com/documents/?uuid=5381b0da-8250-4690-866b-9db53487c9e0"]}],"mendeley":{"formattedCitation":"(Pham dkk., 2020)","manualFormatting":"(Pham dkk., 2020)","plainTextFormattedCitation":"(Pham dkk., 2020)","previouslyFormattedCitation":"(Pham &lt;i&gt;et al.&lt;/i&gt;, 2020)"},"properties":{"noteIndex":0},"schema":"https://github.com/citation-style-language/schema/raw/master/csl-citation.json"}</w:instrText>
      </w:r>
      <w:r>
        <w:rPr>
          <w:lang w:val="zh-CN"/>
        </w:rPr>
        <w:fldChar w:fldCharType="separate"/>
      </w:r>
      <w:r>
        <w:rPr>
          <w:lang w:val="zh-CN"/>
        </w:rPr>
        <w:t>(Pham dkk., 2020)</w:t>
      </w:r>
      <w:r>
        <w:rPr>
          <w:lang w:val="zh-CN"/>
        </w:rPr>
        <w:fldChar w:fldCharType="end"/>
      </w:r>
      <w:r>
        <w:rPr>
          <w:lang w:val="zh-CN"/>
        </w:rPr>
        <w:t>.</w:t>
      </w:r>
    </w:p>
    <w:p w14:paraId="2B84BF64">
      <w:pPr>
        <w:pStyle w:val="44"/>
      </w:pPr>
      <w:r>
        <w:t>b) Conditional Value at Risk (CVaR95)</w:t>
      </w:r>
    </w:p>
    <w:p w14:paraId="1EAF2C0F">
      <w:pPr>
        <w:spacing w:after="0"/>
        <w:ind w:left="284" w:firstLine="720"/>
      </w:pPr>
      <w:r>
        <w:rPr>
          <w:i/>
          <w:lang w:val="zh-CN"/>
        </w:rPr>
        <w:t>Conditional Value at Risk</w:t>
      </w:r>
      <w:r>
        <w:rPr>
          <w:lang w:val="zh-CN"/>
        </w:rPr>
        <w:t xml:space="preserve"> (CVaR95), merupakan metrik yang berfokus pada risiko terjadinya peristiwa ekstrem dan langka yang berdampak sangat besar. CVaR95 didefinisikan sebagai nilai harapan kesalahan yang melebihi kuantil ke-95 dari distribusi kesalahan</w:t>
      </w:r>
      <w:r>
        <w:t>:</w:t>
      </w:r>
    </w:p>
    <w:p w14:paraId="4139EEED">
      <w:pPr>
        <w:spacing w:after="0"/>
        <w:ind w:firstLine="720"/>
      </w:pPr>
      <m:oMathPara>
        <m:oMath>
          <m:eqArr>
            <m:eqArrPr>
              <m:maxDist m:val="1"/>
              <m:ctrlPr>
                <w:rPr>
                  <w:rFonts w:ascii="Cambria Math" w:hAnsi="Cambria Math"/>
                  <w:i/>
                </w:rPr>
              </m:ctrlPr>
            </m:eqArrPr>
            <m:e>
              <m:sSub>
                <m:sSubPr>
                  <m:ctrlPr>
                    <w:rPr>
                      <w:rFonts w:ascii="Cambria Math" w:hAnsi="Cambria Math"/>
                      <w:i/>
                    </w:rPr>
                  </m:ctrlPr>
                </m:sSubPr>
                <m:e>
                  <m:r>
                    <m:rPr>
                      <m:nor/>
                      <m:sty m:val="p"/>
                    </m:rPr>
                    <w:rPr>
                      <w:rFonts w:ascii="Cambria Math" w:hAnsi="Cambria Math"/>
                    </w:rPr>
                    <m:t>CVaR</m:t>
                  </m:r>
                  <m:ctrlPr>
                    <w:rPr>
                      <w:rFonts w:ascii="Cambria Math" w:hAnsi="Cambria Math"/>
                    </w:rPr>
                  </m:ctrlPr>
                </m:e>
                <m:sub>
                  <m:r>
                    <m:rPr/>
                    <w:rPr>
                      <w:rFonts w:ascii="Cambria Math" w:hAnsi="Cambria Math"/>
                    </w:rPr>
                    <m:t>95</m:t>
                  </m:r>
                  <m:ctrlPr>
                    <w:rPr>
                      <w:rFonts w:ascii="Cambria Math" w:hAnsi="Cambria Math"/>
                      <w:i/>
                    </w:rPr>
                  </m:ctrlPr>
                </m:sub>
              </m:sSub>
              <m:r>
                <m:rPr/>
                <w:rPr>
                  <w:rFonts w:ascii="Cambria Math" w:hAnsi="Cambria Math"/>
                </w:rPr>
                <m:t>=E</m:t>
              </m:r>
              <m:d>
                <m:dPr>
                  <m:begChr m:val="["/>
                  <m:sepChr m:val="∣"/>
                  <m:endChr m:val="]"/>
                  <m:ctrlPr>
                    <w:rPr>
                      <w:rFonts w:ascii="Cambria Math" w:hAnsi="Cambria Math"/>
                      <w:i/>
                    </w:rPr>
                  </m:ctrlPr>
                </m:dPr>
                <m:e>
                  <m:r>
                    <m:rPr>
                      <m:nor/>
                      <m:sty m:val="p"/>
                    </m:rPr>
                    <w:rPr>
                      <w:rFonts w:ascii="Cambria Math" w:hAnsi="Cambria Math"/>
                    </w:rPr>
                    <m:t>Error</m:t>
                  </m:r>
                  <m:ctrlPr>
                    <w:rPr>
                      <w:rFonts w:ascii="Cambria Math" w:hAnsi="Cambria Math"/>
                    </w:rPr>
                  </m:ctrlPr>
                </m:e>
                <m:e>
                  <m:r>
                    <m:rPr>
                      <m:nor/>
                      <m:sty m:val="p"/>
                    </m:rPr>
                    <w:rPr>
                      <w:rFonts w:ascii="Cambria Math" w:hAnsi="Cambria Math"/>
                    </w:rPr>
                    <m:t>Error</m:t>
                  </m:r>
                  <m:r>
                    <m:rPr/>
                    <w:rPr>
                      <w:rFonts w:ascii="Cambria Math" w:hAnsi="Cambria Math"/>
                    </w:rPr>
                    <m:t>&gt;</m:t>
                  </m:r>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95</m:t>
                      </m:r>
                      <m:ctrlPr>
                        <w:rPr>
                          <w:rFonts w:ascii="Cambria Math" w:hAnsi="Cambria Math"/>
                          <w:i/>
                        </w:rPr>
                      </m:ctrlPr>
                    </m:sub>
                  </m:sSub>
                  <m:d>
                    <m:dPr>
                      <m:ctrlPr>
                        <w:rPr>
                          <w:rFonts w:ascii="Cambria Math" w:hAnsi="Cambria Math"/>
                          <w:i/>
                        </w:rPr>
                      </m:ctrlPr>
                    </m:dPr>
                    <m:e>
                      <m:r>
                        <m:rPr>
                          <m:nor/>
                          <m:sty m:val="p"/>
                        </m:rPr>
                        <w:rPr>
                          <w:rFonts w:ascii="Cambria Math" w:hAnsi="Cambria Math"/>
                        </w:rPr>
                        <m:t>Error</m:t>
                      </m:r>
                      <m:ctrlPr>
                        <w:rPr>
                          <w:rFonts w:ascii="Cambria Math" w:hAnsi="Cambria Math"/>
                          <w:i/>
                        </w:rPr>
                      </m:ctrlPr>
                    </m:e>
                  </m:d>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2.10</m:t>
                  </m:r>
                  <m:ctrlPr>
                    <w:rPr>
                      <w:rFonts w:ascii="Cambria Math" w:hAnsi="Cambria Math"/>
                      <w:i/>
                    </w:rPr>
                  </m:ctrlPr>
                </m:e>
              </m:d>
              <m:ctrlPr>
                <w:rPr>
                  <w:rFonts w:ascii="Cambria Math" w:hAnsi="Cambria Math"/>
                  <w:i/>
                </w:rPr>
              </m:ctrlPr>
            </m:e>
          </m:eqArr>
        </m:oMath>
      </m:oMathPara>
    </w:p>
    <w:p w14:paraId="668FCBC4">
      <w:pPr>
        <w:spacing w:after="0"/>
        <w:ind w:left="284" w:firstLine="720"/>
        <w:rPr>
          <w:lang w:val="zh-CN"/>
        </w:rPr>
      </w:pPr>
      <w:r>
        <w:rPr>
          <w:lang w:val="zh-CN"/>
        </w:rPr>
        <w:t xml:space="preserve">Dalam konteks peramalan curah hujan, CVaR sangat relevan karena kegagalan model pada kondisi ekstrem, seperti hujan sangat lebat yang dapat berdampak besar terhadap mitigasi bencana dan pengelolaan sumber daya air </w:t>
      </w:r>
      <w:r>
        <w:rPr>
          <w:lang w:val="zh-CN"/>
        </w:rPr>
        <w:fldChar w:fldCharType="begin" w:fldLock="1"/>
      </w:r>
      <w:r>
        <w:rPr>
          <w:lang w:val="zh-CN"/>
        </w:rPr>
        <w:instrText xml:space="preserve">ADDIN CSL_CITATION {"citationItems":[{"id":"ITEM-1","itemData":{"DOI":"10.1029/2024wr037115","abstract":"AbstractThis study presents an innovative approach to risk‐aware decision‐making in water resource management. We focus on a case study in the Netherlands, where risk awareness is key to water system design and policy‐making. Recognizing the limitations of deterministic methods in the face of weather, energy system, and market uncertainties, we propose a scalable stochastic Model Predictive Control (MPC) framework that integrates probabilistic forecasting, scenario generation, and stochastic optimal control. We utilize Combined Quantile Regression Deep Neural Networks and Non‐parametric Bayesian Networks to generate probabilistic scenarios that capture realistic temporal dependencies. The energy distance metric is applied to optimize scenario selection and generate scenario trees, ensuring computational feasibility without compromising decision quality. A key feature of our approach is the introduction of Exceedance Risk (ER) constraints, inspired by Conditional‐Value‐at‐Risk (CVaR), to enable more nuanced and risk‐aware decision‐making while maintaining computational efficiency. In this work, we enable the Noordzeekanaal–Amsterdam‐Rijnkanaal (NZK‐ARK) system to participate in Demand Response (DR) services by dynamically scheduling pumps to align with low hourly electricity prices on the Day Ahead and Intraday markets. Through historical simulations using real water system and electricity price data, we demonstrate that incorporating uncertainty can significantly reduce operational costs—by up to 44 percentage points compared to a deterministic approach—while maintaining safe water levels. The modular nature of the framework also makes it adaptable to a wide range of applications, including hydropower and battery storage systems.","author":[{"dropping-particle":"","family":"Heijden","given":"Ties","non-dropping-particle":"van der","parse-names":false,"suffix":""},{"dropping-particle":"","family":"Mendoza‐Lugo","given":"Miguel Angel","non-dropping-particle":"","parse-names":false,"suffix":""},{"dropping-particle":"","family":"Palensky","given":"Peter","non-dropping-particle":"","parse-names":false,"suffix":""},{"dropping-particle":"","family":"Giesen","given":"Nick","non-dropping-particle":"van de","parse-names":false,"suffix":""},{"dropping-particle":"","family":"Abraham","given":"Edo","non-dropping-particle":"","parse-names":false,"suffix":""}],"container-title":"Water Resources Research","id":"ITEM-1","issue":"3","issued":{"date-parts":[["2025"]]},"title":"Incorporating Risk in Operational Water Resources Management: Probabilistic Forecasting, Scenario Generation, and Optimal Control","type":"article-journal","volume":"61"},"uris":["http://www.mendeley.com/documents/?uuid=da62c450-c37e-497a-bd96-8629f52cd56f"]}],"mendeley":{"formattedCitation":"(van der Heijden dkk., 2025)","manualFormatting":"(van der Heijden dkk., 2025)","plainTextFormattedCitation":"(van der Heijden dkk., 2025)","previouslyFormattedCitation":"(van der Heijden &lt;i&gt;et al.&lt;/i&gt;, 2025)"},"properties":{"noteIndex":0},"schema":"https://github.com/citation-style-language/schema/raw/master/csl-citation.json"}</w:instrText>
      </w:r>
      <w:r>
        <w:rPr>
          <w:lang w:val="zh-CN"/>
        </w:rPr>
        <w:fldChar w:fldCharType="separate"/>
      </w:r>
      <w:r>
        <w:rPr>
          <w:lang w:val="zh-CN"/>
        </w:rPr>
        <w:t>(van der Heijden dkk., 2025)</w:t>
      </w:r>
      <w:r>
        <w:rPr>
          <w:lang w:val="zh-CN"/>
        </w:rPr>
        <w:fldChar w:fldCharType="end"/>
      </w:r>
      <w:r>
        <w:rPr>
          <w:lang w:val="zh-CN"/>
        </w:rPr>
        <w:t xml:space="preserve">. </w:t>
      </w:r>
    </w:p>
    <w:p w14:paraId="35891DF5">
      <w:pPr>
        <w:pStyle w:val="44"/>
      </w:pPr>
      <w:r>
        <w:t xml:space="preserve">c) Log-Sum-Exp dan Skor </w:t>
      </w:r>
      <w:r>
        <w:rPr>
          <w:i/>
        </w:rPr>
        <w:t>Robustness</w:t>
      </w:r>
      <w:r>
        <w:t xml:space="preserve"> (S_robust)</w:t>
      </w:r>
    </w:p>
    <w:p w14:paraId="684F0E3A">
      <w:pPr>
        <w:spacing w:after="0"/>
        <w:ind w:left="284" w:firstLine="720"/>
      </w:pPr>
      <w:r>
        <w:rPr>
          <w:lang w:val="en-US"/>
        </w:rPr>
        <w:t>S</w:t>
      </w:r>
      <w:r>
        <w:t xml:space="preserve">kor </w:t>
      </w:r>
      <w:r>
        <w:rPr>
          <w:i/>
        </w:rPr>
        <w:t>Robustness</w:t>
      </w:r>
      <w:r>
        <w:t xml:space="preserve"> </w:t>
      </w:r>
      <w:r>
        <w:rPr>
          <w:lang w:val="en-US"/>
        </w:rPr>
        <w:t>(S_Robust)</w:t>
      </w:r>
      <w:r>
        <w:t xml:space="preserve"> merupakan metrik komprehensif yang dirancang untuk mengukur ketahanan model dengan mengintegrasikan performa terburuk, variabilitas, dan risiko ekstrem secara simultan. Komponen inti dari skor ini adalah fungsi </w:t>
      </w:r>
      <w:r>
        <w:rPr>
          <w:bCs/>
        </w:rPr>
        <w:t>Log-Sum-Exp (LSE)</w:t>
      </w:r>
      <w:r>
        <w:rPr>
          <w:lang w:val="en-US"/>
        </w:rPr>
        <w:t xml:space="preserve">, yang </w:t>
      </w:r>
      <w:r>
        <w:t>didefinisikan sebagai:</w:t>
      </w:r>
    </w:p>
    <w:p w14:paraId="3BE1B930">
      <w:pPr>
        <w:spacing w:after="0"/>
        <w:ind w:left="284"/>
      </w:pPr>
      <m:oMathPara>
        <m:oMath>
          <m:eqArr>
            <m:eqArrPr>
              <m:maxDist m:val="1"/>
              <m:ctrlPr>
                <w:rPr>
                  <w:rFonts w:ascii="Cambria Math" w:hAnsi="Cambria Math"/>
                  <w:i/>
                </w:rPr>
              </m:ctrlPr>
            </m:eqArrPr>
            <m:e>
              <m:r>
                <m:rPr>
                  <m:nor/>
                  <m:sty m:val="p"/>
                </m:rPr>
                <w:rPr>
                  <w:rFonts w:ascii="Cambria Math" w:hAnsi="Cambria Math"/>
                </w:rPr>
                <m:t>LSE</m:t>
              </m:r>
              <m:d>
                <m:dPr>
                  <m:ctrlPr>
                    <w:rPr>
                      <w:rFonts w:ascii="Cambria Math" w:hAnsi="Cambria Math"/>
                      <w:i/>
                    </w:rPr>
                  </m:ctrlPr>
                </m:dPr>
                <m:e>
                  <m:r>
                    <m:rPr/>
                    <w:rPr>
                      <w:rFonts w:ascii="Cambria Math" w:hAnsi="Cambria Math"/>
                    </w:rPr>
                    <m:t>x</m:t>
                  </m:r>
                  <m:ctrlPr>
                    <w:rPr>
                      <w:rFonts w:ascii="Cambria Math" w:hAnsi="Cambria Math"/>
                      <w:i/>
                    </w:rPr>
                  </m:ctrlPr>
                </m:e>
              </m:d>
              <m:r>
                <m:rPr/>
                <w:rPr>
                  <w:rFonts w:ascii="Cambria Math" w:hAnsi="Cambria Math"/>
                </w:rPr>
                <m:t>=</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d>
                    <m:dPr>
                      <m:ctrlPr>
                        <w:rPr>
                          <w:rFonts w:ascii="Cambria Math" w:hAnsi="Cambria Math"/>
                        </w:rPr>
                      </m:ctrlPr>
                    </m:dPr>
                    <m:e>
                      <m:nary>
                        <m:naryPr>
                          <m:chr m:val="∑"/>
                          <m:ctrlPr>
                            <w:rPr>
                              <w:rFonts w:ascii="Cambria Math" w:hAnsi="Cambria Math"/>
                            </w:rPr>
                          </m:ctrlPr>
                        </m:naryPr>
                        <m:sub>
                          <m:r>
                            <m:rPr/>
                            <w:rPr>
                              <w:rFonts w:ascii="Cambria Math" w:hAnsi="Cambria Math"/>
                            </w:rPr>
                            <m:t>i=1</m:t>
                          </m:r>
                          <m:ctrlPr>
                            <w:rPr>
                              <w:rFonts w:ascii="Cambria Math" w:hAnsi="Cambria Math"/>
                              <w:i/>
                            </w:rPr>
                          </m:ctrlPr>
                        </m:sub>
                        <m:sup>
                          <m:r>
                            <m:rPr/>
                            <w:rPr>
                              <w:rFonts w:ascii="Cambria Math" w:hAnsi="Cambria Math"/>
                            </w:rPr>
                            <m:t>n</m:t>
                          </m:r>
                          <m:ctrlPr>
                            <w:rPr>
                              <w:rFonts w:ascii="Cambria Math" w:hAnsi="Cambria Math"/>
                              <w:i/>
                            </w:rPr>
                          </m:ctrlPr>
                        </m:sup>
                        <m:e>
                          <m:sSup>
                            <m:sSupPr>
                              <m:ctrlPr>
                                <w:rPr>
                                  <w:rFonts w:ascii="Cambria Math" w:hAnsi="Cambria Math"/>
                                  <w:i/>
                                </w:rPr>
                              </m:ctrlPr>
                            </m:sSupPr>
                            <m:e>
                              <m:r>
                                <m:rPr/>
                                <w:rPr>
                                  <w:rFonts w:ascii="Cambria Math" w:hAnsi="Cambria Math"/>
                                </w:rPr>
                                <m:t>e</m:t>
                              </m:r>
                              <m:ctrlPr>
                                <w:rPr>
                                  <w:rFonts w:ascii="Cambria Math" w:hAnsi="Cambria Math"/>
                                  <w:i/>
                                </w:rPr>
                              </m:ctrlPr>
                            </m:e>
                            <m:sup>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sup>
                          </m:sSup>
                          <m:ctrlPr>
                            <w:rPr>
                              <w:rFonts w:ascii="Cambria Math" w:hAnsi="Cambria Math"/>
                              <w:i/>
                            </w:rPr>
                          </m:ctrlPr>
                        </m:e>
                      </m:nary>
                      <m:ctrlPr>
                        <w:rPr>
                          <w:rFonts w:ascii="Cambria Math" w:hAnsi="Cambria Math"/>
                          <w:i/>
                        </w:rPr>
                      </m:ctrlPr>
                    </m:e>
                  </m:d>
                  <m:ctrlPr>
                    <w:rPr>
                      <w:rFonts w:ascii="Cambria Math" w:hAnsi="Cambria Math"/>
                    </w:rPr>
                  </m:ctrlPr>
                </m:e>
              </m:func>
              <m:r>
                <m:rPr/>
                <w:rPr>
                  <w:rFonts w:ascii="Cambria Math" w:hAnsi="Cambria Math"/>
                </w:rPr>
                <m:t>#</m:t>
              </m:r>
              <m:d>
                <m:dPr>
                  <m:ctrlPr>
                    <w:rPr>
                      <w:rFonts w:ascii="Cambria Math" w:hAnsi="Cambria Math"/>
                      <w:i/>
                    </w:rPr>
                  </m:ctrlPr>
                </m:dPr>
                <m:e>
                  <m:r>
                    <m:rPr/>
                    <w:rPr>
                      <w:rFonts w:ascii="Cambria Math" w:hAnsi="Cambria Math"/>
                    </w:rPr>
                    <m:t>2.11</m:t>
                  </m:r>
                  <m:ctrlPr>
                    <w:rPr>
                      <w:rFonts w:ascii="Cambria Math" w:hAnsi="Cambria Math"/>
                      <w:i/>
                    </w:rPr>
                  </m:ctrlPr>
                </m:e>
              </m:d>
              <m:ctrlPr>
                <w:rPr>
                  <w:rFonts w:ascii="Cambria Math" w:hAnsi="Cambria Math"/>
                  <w:i/>
                </w:rPr>
              </m:ctrlPr>
            </m:e>
          </m:eqArr>
        </m:oMath>
      </m:oMathPara>
    </w:p>
    <w:p w14:paraId="5D8A326A">
      <w:pPr>
        <w:spacing w:after="0"/>
        <w:ind w:left="284" w:firstLine="436"/>
      </w:pPr>
      <w:r>
        <w:t>Penggunaan LSE sangat krusial dalam algoritma</w:t>
      </w:r>
      <w:r>
        <w:rPr>
          <w:lang w:val="en-US"/>
        </w:rPr>
        <w:t xml:space="preserve"> ML </w:t>
      </w:r>
      <w:r>
        <w:t>karena kemampuannya memitigasi masalah numerik pada nilai ekstrem serta memberikan interpretasi probabilistik yang lebih stabil dalam konteks klasifikasi maupun regresi</w:t>
      </w:r>
      <w:r>
        <w:rPr>
          <w:lang w:val="en-US"/>
        </w:rPr>
        <w:t>.</w:t>
      </w:r>
      <w:r>
        <w:t xml:space="preserve"> Dalam pengukuran </w:t>
      </w:r>
      <w:r>
        <w:rPr>
          <w:i/>
          <w:iCs/>
        </w:rPr>
        <w:t>robustness</w:t>
      </w:r>
      <w:r>
        <w:t>, fungsi ini memungkinkan keseimbangan kalkulasi antara potensi hasil terbaik dan terburuk dengan tetap mempertimbangkan kontribusi seluruh elemen dalam dataset secara adil</w:t>
      </w:r>
      <w:r>
        <w:rPr>
          <w:lang w:val="en-US"/>
        </w:rPr>
        <w:t xml:space="preserve"> </w:t>
      </w:r>
      <w:r>
        <w:rPr>
          <w:lang w:val="en-US"/>
        </w:rPr>
        <w:fldChar w:fldCharType="begin" w:fldLock="1"/>
      </w:r>
      <w:r>
        <w:rPr>
          <w:lang w:val="en-US"/>
        </w:rPr>
        <w:instrText xml:space="preserve">ADDIN CSL_CITATION {"citationItems":[{"id":"ITEM-1","itemData":{"DOI":"10.1093/imanum/draa038","author":[{"dropping-particle":"","family":"Blanchard","given":"Pierre","non-dropping-particle":"","parse-names":false,"suffix":""},{"dropping-particle":"","family":"Higham","given":"Desmond J","non-dropping-particle":"","parse-names":false,"suffix":""},{"dropping-particle":"","family":"Higham","given":"Nicholas J","non-dropping-particle":"","parse-names":false,"suffix":""}],"container-title":"Ima Journal of Numerical Analysis","id":"ITEM-1","issue":"4","issued":{"date-parts":[["2020"]]},"page":"2311-2330","title":"Accurately Computing the Log-Sum-Exp and Softmax Functions","type":"article-journal","volume":"41"},"uris":["http://www.mendeley.com/documents/?uuid=aec53e6b-416e-41e6-a3c7-1ff0404b2358"]}],"mendeley":{"formattedCitation":"(Blanchard dkk., 2020)","manualFormatting":"(Blanchard, Higham dan Higham, 2020)","plainTextFormattedCitation":"(Blanchard dkk., 2020)","previouslyFormattedCitation":"(Blanchard, Higham dan Higham, 2020)"},"properties":{"noteIndex":0},"schema":"https://github.com/citation-style-language/schema/raw/master/csl-citation.json"}</w:instrText>
      </w:r>
      <w:r>
        <w:rPr>
          <w:lang w:val="en-US"/>
        </w:rPr>
        <w:fldChar w:fldCharType="separate"/>
      </w:r>
      <w:r>
        <w:rPr>
          <w:lang w:val="en-US"/>
        </w:rPr>
        <w:t>(Blanchard, Higham dan Higham, 2020)</w:t>
      </w:r>
      <w:r>
        <w:rPr>
          <w:lang w:val="en-US"/>
        </w:rPr>
        <w:fldChar w:fldCharType="end"/>
      </w:r>
      <w:r>
        <w:t>.</w:t>
      </w:r>
    </w:p>
    <w:p w14:paraId="19BCED65">
      <w:pPr>
        <w:pStyle w:val="44"/>
      </w:pPr>
      <w:r>
        <w:t>c) Worst</w:t>
      </w:r>
      <w:r>
        <w:rPr>
          <w:i/>
        </w:rPr>
        <w:t>-</w:t>
      </w:r>
      <w:r>
        <w:t>k</w:t>
      </w:r>
      <w:r>
        <w:rPr>
          <w:i/>
        </w:rPr>
        <w:t>%</w:t>
      </w:r>
      <w:r>
        <w:t xml:space="preserve"> </w:t>
      </w:r>
      <w:r>
        <w:rPr>
          <w:i/>
        </w:rPr>
        <w:t>Analysis</w:t>
      </w:r>
    </w:p>
    <w:p w14:paraId="7FEBE9D8">
      <w:pPr>
        <w:spacing w:after="0"/>
        <w:ind w:left="284" w:firstLine="720"/>
        <w:rPr>
          <w:lang w:val="zh-CN"/>
        </w:rPr>
      </w:pPr>
      <w:r>
        <w:rPr>
          <w:lang w:val="zh-CN"/>
        </w:rPr>
        <w:t xml:space="preserve">Worst-k% </w:t>
      </w:r>
      <w:r>
        <w:rPr>
          <w:i/>
          <w:lang w:val="zh-CN"/>
        </w:rPr>
        <w:t>analysis</w:t>
      </w:r>
      <w:r>
        <w:rPr>
          <w:lang w:val="zh-CN"/>
        </w:rPr>
        <w:t xml:space="preserve"> adalah metode evaluasi yang fokus pada kinerja model pada kondisi paling buruk, baik dari sisi waktu maupun lokasi. Pendekatan ini menghitung rata-rata kesalahan pada sebagian kecil (k%) kasus atau lokasi dengan performa terendah. Metode ini berguna untuk mengungkap kelemahan model yang tidak terlihat dari nilai rata-rata, menilai ketahanan model terhadap kejadian langka atau data ekstrem, serta mengevaluasi kesiapan model untuk penggunaan operasional berbasis risiko. Worst-k% analysis melengkapi CVaR dengan memberikan sudut pandang antar-lokasi, sehingga gambaran </w:t>
      </w:r>
      <w:r>
        <w:rPr>
          <w:i/>
          <w:lang w:val="zh-CN"/>
        </w:rPr>
        <w:t>robustness</w:t>
      </w:r>
      <w:r>
        <w:rPr>
          <w:lang w:val="zh-CN"/>
        </w:rPr>
        <w:t xml:space="preserve"> model menjadi lebih menyeluruh </w:t>
      </w:r>
      <w:r>
        <w:rPr>
          <w:lang w:val="zh-CN"/>
        </w:rPr>
        <w:fldChar w:fldCharType="begin" w:fldLock="1"/>
      </w:r>
      <w:r>
        <w:rPr>
          <w:lang w:val="zh-CN"/>
        </w:rPr>
        <w:instrText xml:space="preserve">ADDIN CSL_CITATION {"citationItems":[{"id":"ITEM-1","itemData":{"DOI":"10.1038/s41598-022-07167-7","author":[{"dropping-particle":"","family":"Pfohl","given":"Stephen","non-dropping-particle":"","parse-names":false,"suffix":""},{"dropping-particle":"","family":"Zhang","given":"Haoran","non-dropping-particle":"","parse-names":false,"suffix":""},{"dropping-particle":"","family":"Xu","given":"Yizhe","non-dropping-particle":"","parse-names":false,"suffix":""},{"dropping-particle":"","family":"Foryciarz","given":"Agata","non-dropping-particle":"","parse-names":false,"suffix":""},{"dropping-particle":"","family":"Ghassemi","given":"Marzyeh","non-dropping-particle":"","parse-names":false,"suffix":""},{"dropping-particle":"","family":"Shah","given":"Nigam H","non-dropping-particle":"","parse-names":false,"suffix":""}],"container-title":"Scientific Reports","id":"ITEM-1","issue":"1","issued":{"date-parts":[["2022"]]},"title":"A Comparison of Approaches to Improve Worst-Case Predictive Model Performance Over Patient Subpopulations","type":"article-journal","volume":"12"},"uris":["http://www.mendeley.com/documents/?uuid=cf0e79a2-92c1-4aff-ace7-3073651f7432"]}],"mendeley":{"formattedCitation":"(Pfohl dkk., 2022)","manualFormatting":"(Pfohl dkk., 2022)","plainTextFormattedCitation":"(Pfohl dkk., 2022)","previouslyFormattedCitation":"(Pfohl &lt;i&gt;et al.&lt;/i&gt;, 2022)"},"properties":{"noteIndex":0},"schema":"https://github.com/citation-style-language/schema/raw/master/csl-citation.json"}</w:instrText>
      </w:r>
      <w:r>
        <w:rPr>
          <w:lang w:val="zh-CN"/>
        </w:rPr>
        <w:fldChar w:fldCharType="separate"/>
      </w:r>
      <w:r>
        <w:rPr>
          <w:lang w:val="zh-CN"/>
        </w:rPr>
        <w:t>(Pfohl dkk., 2022)</w:t>
      </w:r>
      <w:r>
        <w:rPr>
          <w:lang w:val="zh-CN"/>
        </w:rPr>
        <w:fldChar w:fldCharType="end"/>
      </w:r>
    </w:p>
    <w:p w14:paraId="1876FF7A">
      <w:pPr>
        <w:pStyle w:val="44"/>
        <w:rPr>
          <w:i/>
        </w:rPr>
      </w:pPr>
      <w:r>
        <w:t xml:space="preserve">e) </w:t>
      </w:r>
      <w:r>
        <w:rPr>
          <w:i/>
        </w:rPr>
        <w:t>Statistical Tests (Friedman Test)</w:t>
      </w:r>
    </w:p>
    <w:p w14:paraId="2833B67A">
      <w:pPr>
        <w:spacing w:after="0"/>
        <w:ind w:left="284" w:firstLine="720"/>
        <w:rPr>
          <w:lang w:val="zh-CN"/>
        </w:rPr>
      </w:pPr>
      <w:r>
        <w:rPr>
          <w:lang w:val="zh-CN"/>
        </w:rPr>
        <w:t xml:space="preserve">Untuk memastikan bahwa perbedaan kinerja antar model benar-benar bermakna secara statistik, digunakan uji non-parametrik. </w:t>
      </w:r>
      <w:r>
        <w:rPr>
          <w:i/>
          <w:lang w:val="zh-CN"/>
        </w:rPr>
        <w:t>Friedman test</w:t>
      </w:r>
      <w:r>
        <w:rPr>
          <w:lang w:val="zh-CN"/>
        </w:rPr>
        <w:t xml:space="preserve"> digunakan untuk membandingkan lebih dari dua model sekaligus. Uji non-parametrik dipilih karena tidak mengharuskan data kesalahan berdistribusi normal, sehingga lebih sesuai untuk data iklim. Umumnya digunakan tingkat signifikansi α = 0.05, yang berarti perbedaan performa dianggap signifikan jika peluang kesalahan kurang dari 5%. Secara keseluruhan, kombinasi metrik akurasi, kejadian ekstrem, evaluasi berbasis rezim, dan uji statistik membentuk kerangka evaluasi yang menyeluruh dan kuat, sehingga model yang dihasilkan tidak hanya akurat secara angka, tetapi juga stabil lintas lokasi dan andal dalam menghadapi kondisi iklim ekstrem </w:t>
      </w:r>
      <w:r>
        <w:rPr>
          <w:lang w:val="zh-CN"/>
        </w:rPr>
        <w:fldChar w:fldCharType="begin" w:fldLock="1"/>
      </w:r>
      <w:r>
        <w:rPr>
          <w:lang w:val="zh-CN"/>
        </w:rPr>
        <w:instrText xml:space="preserve">ADDIN CSL_CITATION {"citationItems":[{"id":"ITEM-1","itemData":{"DOI":"10.1038/s41598-024-63746-w","abstract":"AbstractThis paper proposes a novel multi-hybrid algorithm named DHPN, using the best-known properties of dwarf mongoose algorithm (DMA), honey badger algorithm (HBA), prairie dog optimizer (PDO), cuckoo search (CS), grey wolf optimizer (GWO) and naked mole rat algorithm (NMRA). It follows an iterative division for extensive exploration and incorporates major parametric enhancements for improved exploitation operation. To counter the local optima problems, a stagnation phase using CS and GWO is added. Six new inertia weight operators have been analyzed to adapt algorithmic parameters, and the best combination of these parameters has been found. An analysis of the suitability of DHPN towards population variations and higher dimensions has been performed. For performance evaluation, the CEC 2005 and CEC 2019 benchmark data sets have been used. A comparison has been performed with differential evolution with active archive (JADE), self-adaptive DE (SaDE), success history based DE (SHADE), LSHADE-SPACMA, extended GWO (GWO-E), jDE100, and others. The DHPN algorithm is also used to solve the image fusion problem for four fusion quality metrics, namely, edge-based similarity index ($$Q^{AB/F}$$  Q  A B / F   ), sum of correlation difference (SCD), structural similarity index measure (SSIM), and artifact measure ($$N^{AB/F}$$  N  A B / F   ). The average $$Q^{AB/F} = 0.765508$$   Q  A B / F   = 0.765508  , $$SCD = 1.63185$$  S C D = 1.63185  , $$SSIM = 0.726317$$  S S I M = 0.726317  , and $$N^{AB/F} = 0.006617$$   N  A B / F   = 0.006617  shows the best combination of results obtained by DHPN with respect to the existing algorithms such as DCH, CBF, GTF, JSR and others. Experimental and statistical Wilcoxon’s and Friedman’s tests show that the proposed DHPN algorithm performs significantly better in comparison to the other algorithms under test.","author":[{"dropping-particle":"","family":"Salgotra","given":"Rohit","non-dropping-particle":"","parse-names":false,"suffix":""},{"dropping-particle":"","family":"Lamba","given":"Amanjot Kaur","non-dropping-particle":"","parse-names":false,"suffix":""},{"dropping-particle":"","family":"Talwar","given":"Dhruv","non-dropping-particle":"","parse-names":false,"suffix":""},{"dropping-particle":"","family":"Gulati","given":"Dhairya","non-dropping-particle":"","parse-names":false,"suffix":""},{"dropping-particle":"","family":"Gandomi","given":"Amir H","non-dropping-particle":"","parse-names":false,"suffix":""}],"container-title":"Scientific Reports","id":"ITEM-1","issue":"1","issued":{"date-parts":[["2024"]]},"title":"A Hybrid Swarm Intelligence Algorithm for Region-Based Image Fusion","type":"article-journal","volume":"14"},"uris":["http://www.mendeley.com/documents/?uuid=e6399b83-c345-47ff-98b6-32805eacf394"]}],"mendeley":{"formattedCitation":"(Salgotra dkk., 2024)","manualFormatting":"(Salgotra dkk., 2024)","plainTextFormattedCitation":"(Salgotra dkk., 2024)","previouslyFormattedCitation":"(Salgotra &lt;i&gt;et al.&lt;/i&gt;, 2024)"},"properties":{"noteIndex":0},"schema":"https://github.com/citation-style-language/schema/raw/master/csl-citation.json"}</w:instrText>
      </w:r>
      <w:r>
        <w:rPr>
          <w:lang w:val="zh-CN"/>
        </w:rPr>
        <w:fldChar w:fldCharType="separate"/>
      </w:r>
      <w:r>
        <w:rPr>
          <w:lang w:val="zh-CN"/>
        </w:rPr>
        <w:t>(Salgotra dkk., 2024)</w:t>
      </w:r>
      <w:r>
        <w:rPr>
          <w:lang w:val="zh-CN"/>
        </w:rPr>
        <w:fldChar w:fldCharType="end"/>
      </w:r>
      <w:r>
        <w:rPr>
          <w:lang w:val="zh-CN"/>
        </w:rPr>
        <w:t>.</w:t>
      </w:r>
    </w:p>
    <w:p w14:paraId="62EC20EA">
      <w:pPr>
        <w:pStyle w:val="44"/>
      </w:pPr>
      <w:r>
        <w:t>f) Efisiensi Komputasi (FLOPs)</w:t>
      </w:r>
    </w:p>
    <w:p w14:paraId="17B78C7F">
      <w:pPr>
        <w:spacing w:after="0"/>
        <w:ind w:left="284" w:firstLine="436"/>
        <w:rPr>
          <w:lang w:val="en-US"/>
        </w:rPr>
      </w:pPr>
      <w:r>
        <w:rPr>
          <w:i/>
        </w:rPr>
        <w:t>Floating Point Operations</w:t>
      </w:r>
      <w:r>
        <w:t xml:space="preserve"> (FLOPs) merupakan metrik yang digunakan untuk </w:t>
      </w:r>
      <w:r>
        <w:rPr>
          <w:bCs/>
        </w:rPr>
        <w:t>menggambarkan seberapa besar beban komputasi</w:t>
      </w:r>
      <w:r>
        <w:t xml:space="preserve"> yang dibutuhkan oleh suatu model </w:t>
      </w:r>
      <w:r>
        <w:rPr>
          <w:i/>
          <w:lang w:val="en-US"/>
        </w:rPr>
        <w:t>deep learning</w:t>
      </w:r>
      <w:r>
        <w:t xml:space="preserve">. FLOPs bersifat </w:t>
      </w:r>
      <w:r>
        <w:rPr>
          <w:i/>
          <w:iCs/>
        </w:rPr>
        <w:t>hardware-agnostic</w:t>
      </w:r>
      <w:r>
        <w:t xml:space="preserve">, artinya nilai FLOPs </w:t>
      </w:r>
      <w:r>
        <w:rPr>
          <w:bCs/>
        </w:rPr>
        <w:t>tidak bergantung pada jenis komputer atau prosesor</w:t>
      </w:r>
      <w:r>
        <w:t xml:space="preserve"> yang digunakan</w:t>
      </w:r>
      <w:r>
        <w:rPr>
          <w:lang w:val="en-US"/>
        </w:rPr>
        <w:t xml:space="preserve">, maka </w:t>
      </w:r>
      <w:r>
        <w:t xml:space="preserve">cocok digunakan untuk </w:t>
      </w:r>
      <w:r>
        <w:rPr>
          <w:bCs/>
        </w:rPr>
        <w:t>membandingkan efisiensi komputasi antar model atau antar konfigurasi arsitektur</w:t>
      </w:r>
      <w:r>
        <w:t xml:space="preserve"> secara adil</w:t>
      </w:r>
      <w:r>
        <w:rPr>
          <w:lang w:val="en-US"/>
        </w:rPr>
        <w:t xml:space="preserve">. </w:t>
      </w:r>
      <w:r>
        <w:t>FLOPs mencerminkan beban komputasi model, di mana nilai tinggi mengindikasikan arsitektur kompleks yang memakan banyak sumber daya, sedangkan nilai rendah menawarkan efisiensi operasional meski berisiko membatasi kapasitas model</w:t>
      </w:r>
      <w:r>
        <w:rPr>
          <w:lang w:val="en-US"/>
        </w:rPr>
        <w:t xml:space="preserve">. </w:t>
      </w:r>
      <w:r>
        <w:t xml:space="preserve">Oleh karena itu, metrik ini dinilai sebagai </w:t>
      </w:r>
      <w:r>
        <w:rPr>
          <w:i/>
          <w:iCs/>
        </w:rPr>
        <w:t>trade-off</w:t>
      </w:r>
      <w:r>
        <w:t xml:space="preserve"> antara biaya komputasi dan performa, yang dalam penelitian ini digunakan untuk memastikan model tidak hanya akurat dan stabil, tetapi juga layak diterapkan secara praktis</w:t>
      </w:r>
      <w:r>
        <w:rPr>
          <w:lang w:val="en-US"/>
        </w:rPr>
        <w:t xml:space="preserve"> </w:t>
      </w:r>
      <w:r>
        <w:rPr>
          <w:lang w:val="en-US"/>
        </w:rPr>
        <w:fldChar w:fldCharType="begin" w:fldLock="1"/>
      </w:r>
      <w:r>
        <w:rPr>
          <w:lang w:val="en-US"/>
        </w:rPr>
        <w:instrText xml:space="preserve">ADDIN CSL_CITATION {"citationItems":[{"id":"ITEM-1","itemData":{"DOI":"10.1109/TWC.2019.2934107","ISSN":"1558-2248 VO  - 18","author":[{"dropping-particle":"","family":"Zhou","given":"B","non-dropping-particle":"","parse-names":false,"suffix":""},{"dropping-particle":"","family":"Liu","given":"A","non-dropping-particle":"","parse-names":false,"suffix":""},{"dropping-particle":"","family":"Lau","given":"V","non-dropping-particle":"","parse-names":false,"suffix":""}],"container-title":"IEEE Transactions on Wireless Communications","id":"ITEM-1","issue":"11","issued":{"date-parts":[["2019"]]},"page":"5181-5195","title":"Joint User Location and Orientation Estimation for Visible Light Communication Systems With Unknown Power Emission","type":"article-journal","volume":"18"},"uris":["http://www.mendeley.com/documents/?uuid=05ab8749-af5c-45f5-a85b-ac4d7180f8ba"]}],"mendeley":{"formattedCitation":"(Zhou dkk., 2019)","manualFormatting":"(Zhou, Liu dan Lau, 2019)","plainTextFormattedCitation":"(Zhou dkk., 2019)","previouslyFormattedCitation":"(Zhou, Liu dan Lau, 2019)"},"properties":{"noteIndex":0},"schema":"https://github.com/citation-style-language/schema/raw/master/csl-citation.json"}</w:instrText>
      </w:r>
      <w:r>
        <w:rPr>
          <w:lang w:val="en-US"/>
        </w:rPr>
        <w:fldChar w:fldCharType="separate"/>
      </w:r>
      <w:r>
        <w:rPr>
          <w:lang w:val="en-US"/>
        </w:rPr>
        <w:t>(Zhou, Liu dan Lau, 2019)</w:t>
      </w:r>
      <w:r>
        <w:rPr>
          <w:lang w:val="en-US"/>
        </w:rPr>
        <w:fldChar w:fldCharType="end"/>
      </w:r>
      <w:r>
        <w:rPr>
          <w:lang w:val="en-US"/>
        </w:rPr>
        <w:t>.</w:t>
      </w:r>
    </w:p>
    <w:p w14:paraId="7795B5A8">
      <w:pPr>
        <w:pStyle w:val="44"/>
      </w:pPr>
      <w:r>
        <w:t>g) Seleksi Fitur Berbasis mRMR</w:t>
      </w:r>
    </w:p>
    <w:p w14:paraId="4566DFD9">
      <w:pPr>
        <w:spacing w:after="0"/>
        <w:ind w:left="284" w:firstLine="436"/>
        <w:rPr>
          <w:lang w:val="en-US"/>
        </w:rPr>
      </w:pPr>
      <w:r>
        <w:rPr>
          <w:i/>
          <w:lang w:val="zh-CN"/>
        </w:rPr>
        <w:t xml:space="preserve"> Minimum Redundancy Maximum Relevance </w:t>
      </w:r>
      <w:r>
        <w:rPr>
          <w:lang w:val="zh-CN"/>
        </w:rPr>
        <w:t xml:space="preserve">(mRMR) adalah salah satu metode dalam ML untuk menyeleksi fitur yang paling relevan untuk target. Metode ini diterapkan untuk mengatasi karakteristik data yang memiliki banyak variabel input namun jumlah sampel historis terbatas, sehingga rentan menyebabkan </w:t>
      </w:r>
      <w:r>
        <w:rPr>
          <w:i/>
          <w:lang w:val="zh-CN"/>
        </w:rPr>
        <w:t>overfitting</w:t>
      </w:r>
      <w:r>
        <w:rPr>
          <w:lang w:val="zh-CN"/>
        </w:rPr>
        <w:t>. mRMR bekerja dengan membuang variabel yang informasinya duplikat (</w:t>
      </w:r>
      <w:r>
        <w:rPr>
          <w:i/>
          <w:lang w:val="zh-CN"/>
        </w:rPr>
        <w:t>minimum redundancy</w:t>
      </w:r>
      <w:r>
        <w:rPr>
          <w:lang w:val="zh-CN"/>
        </w:rPr>
        <w:t>) sambil memprioritaskan variabel yang memiliki pengaruh paling kuat terhadap target curah hujan (</w:t>
      </w:r>
      <w:r>
        <w:rPr>
          <w:i/>
          <w:lang w:val="zh-CN"/>
        </w:rPr>
        <w:t>maximum relevance</w:t>
      </w:r>
      <w:r>
        <w:rPr>
          <w:lang w:val="zh-CN"/>
        </w:rPr>
        <w:t xml:space="preserve">), sehingga menghasilkan kombinasi input yang lebih ringkas dan efisien </w:t>
      </w:r>
      <w:r>
        <w:rPr>
          <w:lang w:val="zh-CN"/>
        </w:rPr>
        <w:fldChar w:fldCharType="begin" w:fldLock="1"/>
      </w:r>
      <w:r>
        <w:rPr>
          <w:lang w:val="zh-CN"/>
        </w:rPr>
        <w:instrText xml:space="preserve">ADDIN CSL_CITATION {"citationItems":[{"id":"ITEM-1","itemData":{"DOI":"10.1002/int.21833","author":[{"dropping-particle":"","family":"Ramírez‐Gallego","given":"Sergio","non-dropping-particle":"","parse-names":false,"suffix":""},{"dropping-particle":"","family":"Lastra","given":"Iago","non-dropping-particle":"","parse-names":false,"suffix":""},{"dropping-particle":"","family":"Martínez‐Rego","given":"David","non-dropping-particle":"","parse-names":false,"suffix":""},{"dropping-particle":"","family":"Bolón‐Canedo","given":"Verónica","non-dropping-particle":"","parse-names":false,"suffix":""},{"dropping-particle":"","family":"Benítez","given":"José M","non-dropping-particle":"","parse-names":false,"suffix":""},{"dropping-particle":"","family":"Herrera","given":"Francisco","non-dropping-particle":"","parse-names":false,"suffix":""},{"dropping-particle":"","family":"Alonso‐Betanzos","given":"Amparo","non-dropping-particle":"","parse-names":false,"suffix":""}],"container-title":"International Journal of Intelligent Systems","id":"ITEM-1","issue":"2","issued":{"date-parts":[["2016"]]},"page":"134-152","title":"Fast-mRMR: Fast Minimum Redundancy Maximum Relevance Algorithm for High-Dimensional Big Data","type":"article-journal","volume":"32"},"uris":["http://www.mendeley.com/documents/?uuid=52586532-de61-47d0-9fcb-ba64bba39073"]}],"mendeley":{"formattedCitation":"(Ramírez‐Gallego dkk., 2016)","manualFormatting":"(Ramírez‐Gallego dkk., 2016)","plainTextFormattedCitation":"(Ramírez‐Gallego dkk., 2016)","previouslyFormattedCitation":"(Ramírez‐Gallego &lt;i&gt;et al.&lt;/i&gt;, 2016)"},"properties":{"noteIndex":0},"schema":"https://github.com/citation-style-language/schema/raw/master/csl-citation.json"}</w:instrText>
      </w:r>
      <w:r>
        <w:rPr>
          <w:lang w:val="zh-CN"/>
        </w:rPr>
        <w:fldChar w:fldCharType="separate"/>
      </w:r>
      <w:r>
        <w:rPr>
          <w:lang w:val="zh-CN"/>
        </w:rPr>
        <w:t>(Ramírez‐Gallego dkk., 2016)</w:t>
      </w:r>
      <w:r>
        <w:rPr>
          <w:lang w:val="zh-CN"/>
        </w:rPr>
        <w:fldChar w:fldCharType="end"/>
      </w:r>
      <w:r>
        <w:rPr>
          <w:lang w:val="zh-CN"/>
        </w:rPr>
        <w:t>.</w:t>
      </w:r>
    </w:p>
    <w:p w14:paraId="16A65E61">
      <w:pPr>
        <w:spacing w:after="0"/>
        <w:jc w:val="center"/>
        <w:rPr>
          <w:lang w:val="en-US"/>
        </w:rPr>
        <w:sectPr>
          <w:pgSz w:w="11906" w:h="16838"/>
          <w:pgMar w:top="1701" w:right="1701" w:bottom="1701" w:left="2268" w:header="708" w:footer="708" w:gutter="0"/>
          <w:cols w:space="708" w:num="1"/>
          <w:titlePg/>
          <w:docGrid w:linePitch="360" w:charSpace="0"/>
        </w:sectPr>
      </w:pPr>
    </w:p>
    <w:p w14:paraId="077F5ADA">
      <w:pPr>
        <w:pStyle w:val="2"/>
      </w:pPr>
      <w:bookmarkStart w:id="39" w:name="_Toc236076734"/>
      <w:r>
        <w:t xml:space="preserve">BAB III </w:t>
      </w:r>
      <w:r>
        <w:br w:type="textWrapping"/>
      </w:r>
      <w:r>
        <w:t>PERANCANGAN SISTEM</w:t>
      </w:r>
      <w:bookmarkEnd w:id="39"/>
    </w:p>
    <w:p w14:paraId="3BCD05BB">
      <w:pPr>
        <w:pStyle w:val="3"/>
      </w:pPr>
      <w:bookmarkStart w:id="40" w:name="_Toc236076735"/>
      <w:r>
        <w:t>3.1 Gambaran Umum Sistem</w:t>
      </w:r>
      <w:bookmarkEnd w:id="40"/>
    </w:p>
    <w:p w14:paraId="4361BB0A">
      <w:pPr>
        <w:keepNext/>
        <w:spacing w:after="0"/>
        <w:jc w:val="center"/>
      </w:pPr>
      <w:r>
        <w:drawing>
          <wp:inline distT="0" distB="0" distL="0" distR="0">
            <wp:extent cx="4874260" cy="6400800"/>
            <wp:effectExtent l="0" t="0" r="2540" b="0"/>
            <wp:docPr id="6" name="Picture 6" descr="C:/Users/PREDATOR/Downloads/GAMBARAN UMUM SISTEM.drawio.pngGAMBARAN UMUM SISTEM.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PREDATOR/Downloads/GAMBARAN UMUM SISTEM.drawio.pngGAMBARAN UMUM SISTEM.drawio"/>
                    <pic:cNvPicPr>
                      <a:picLocks noChangeAspect="1"/>
                    </pic:cNvPicPr>
                  </pic:nvPicPr>
                  <pic:blipFill>
                    <a:blip r:embed="rId24"/>
                    <a:srcRect l="26" r="26"/>
                    <a:stretch>
                      <a:fillRect/>
                    </a:stretch>
                  </pic:blipFill>
                  <pic:spPr>
                    <a:xfrm>
                      <a:off x="0" y="0"/>
                      <a:ext cx="4874260" cy="6419385"/>
                    </a:xfrm>
                    <a:prstGeom prst="rect">
                      <a:avLst/>
                    </a:prstGeom>
                  </pic:spPr>
                </pic:pic>
              </a:graphicData>
            </a:graphic>
          </wp:inline>
        </w:drawing>
      </w:r>
    </w:p>
    <w:p w14:paraId="17513BE3">
      <w:pPr>
        <w:pStyle w:val="11"/>
        <w:keepNext/>
        <w:jc w:val="center"/>
        <w:rPr>
          <w:b/>
          <w:i w:val="0"/>
          <w:color w:val="auto"/>
          <w:sz w:val="24"/>
        </w:rPr>
      </w:pPr>
      <w:bookmarkStart w:id="41" w:name="_Toc236077396"/>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rPr>
        <w:t xml:space="preserve"> Gambaran Umum Arsitektur </w:t>
      </w:r>
      <w:r>
        <w:rPr>
          <w:b/>
          <w:color w:val="auto"/>
          <w:sz w:val="24"/>
        </w:rPr>
        <w:t>ToMarx</w:t>
      </w:r>
      <w:bookmarkEnd w:id="41"/>
    </w:p>
    <w:p w14:paraId="2273315C">
      <w:pPr>
        <w:spacing w:before="240"/>
        <w:ind w:firstLine="720"/>
        <w:rPr>
          <w:b/>
          <w:bCs/>
        </w:rPr>
      </w:pPr>
      <w:r>
        <w:rPr>
          <w:lang w:val="en-US"/>
        </w:rPr>
        <w:t xml:space="preserve">Gambaran umum Arsitektur </w:t>
      </w:r>
      <w:r>
        <w:rPr>
          <w:i/>
          <w:lang w:val="en-US"/>
        </w:rPr>
        <w:t xml:space="preserve">ToMarx </w:t>
      </w:r>
      <w:r>
        <w:rPr>
          <w:lang w:val="en-US"/>
        </w:rPr>
        <w:t xml:space="preserve">divisualisasikan pada Gambar 3.1. </w:t>
      </w:r>
      <w:r>
        <w:t xml:space="preserve">Secara garis besar, </w:t>
      </w:r>
      <w:r>
        <w:rPr>
          <w:i/>
        </w:rPr>
        <w:t>ToMarx</w:t>
      </w:r>
      <w:r>
        <w:t xml:space="preserve"> mengintegrasikan seluruh tahapan prediksi curah hujan mulai dari </w:t>
      </w:r>
      <w:r>
        <w:rPr>
          <w:i/>
          <w:lang w:val="en-US"/>
        </w:rPr>
        <w:t xml:space="preserve">preprocessing </w:t>
      </w:r>
      <w:r>
        <w:t xml:space="preserve">data </w:t>
      </w:r>
      <w:r>
        <w:rPr>
          <w:i/>
        </w:rPr>
        <w:t>multi-</w:t>
      </w:r>
      <w:r>
        <w:rPr>
          <w:i/>
          <w:lang w:val="en-US"/>
        </w:rPr>
        <w:t>site</w:t>
      </w:r>
      <w:r>
        <w:t xml:space="preserve"> dan seleksi fitur, hingga pengembangan model utama berbasis </w:t>
      </w:r>
      <w:r>
        <w:rPr>
          <w:i/>
          <w:iCs/>
        </w:rPr>
        <w:t>Transformer encoder-only</w:t>
      </w:r>
      <w:r>
        <w:t xml:space="preserve"> beserta </w:t>
      </w:r>
      <w:r>
        <w:rPr>
          <w:i/>
          <w:iCs/>
        </w:rPr>
        <w:t>baseline</w:t>
      </w:r>
      <w:r>
        <w:t xml:space="preserve">-nya. Keunggulan sistem terletak pada penerapan optimasi </w:t>
      </w:r>
      <w:r>
        <w:rPr>
          <w:i/>
          <w:iCs/>
        </w:rPr>
        <w:t>hyperparameter</w:t>
      </w:r>
      <w:r>
        <w:t xml:space="preserve"> multi-objektif menggunakan algoritma IFPOA-X</w:t>
      </w:r>
      <w:r>
        <w:rPr>
          <w:lang w:val="en-US"/>
        </w:rPr>
        <w:t xml:space="preserve"> beserta baselinenya</w:t>
      </w:r>
      <w:r>
        <w:t xml:space="preserve"> yang secara otomatis menyeimbangkan akurasi prediksi dengan </w:t>
      </w:r>
      <w:r>
        <w:rPr>
          <w:i/>
          <w:iCs/>
        </w:rPr>
        <w:t>robustness</w:t>
      </w:r>
      <w:r>
        <w:t xml:space="preserve"> </w:t>
      </w:r>
      <w:r>
        <w:rPr>
          <w:lang w:val="en-US"/>
        </w:rPr>
        <w:t xml:space="preserve"> </w:t>
      </w:r>
      <w:r>
        <w:t xml:space="preserve">model, serta dukungan mekanisme </w:t>
      </w:r>
      <w:r>
        <w:rPr>
          <w:i/>
          <w:iCs/>
        </w:rPr>
        <w:t>transfer learning</w:t>
      </w:r>
      <w:r>
        <w:t xml:space="preserve"> untuk adaptabilitas antar lokasi.</w:t>
      </w:r>
    </w:p>
    <w:p w14:paraId="38394B3F">
      <w:pPr>
        <w:pStyle w:val="3"/>
      </w:pPr>
      <w:bookmarkStart w:id="42" w:name="_Toc236076736"/>
      <w:r>
        <w:t>3.2 Lingkungan Pengembangan</w:t>
      </w:r>
      <w:bookmarkEnd w:id="42"/>
    </w:p>
    <w:p w14:paraId="09088BE7">
      <w:pPr>
        <w:pStyle w:val="4"/>
      </w:pPr>
      <w:bookmarkStart w:id="43" w:name="_Toc236076737"/>
      <w:r>
        <w:t>3.2.1 Perangkat Penelitian</w:t>
      </w:r>
      <w:bookmarkEnd w:id="43"/>
    </w:p>
    <w:p w14:paraId="27EBD27E">
      <w:pPr>
        <w:spacing w:after="0"/>
        <w:rPr>
          <w:lang w:val="en-US"/>
        </w:rPr>
      </w:pPr>
      <w:r>
        <w:rPr>
          <w:lang w:val="en-US"/>
        </w:rPr>
        <w:t>Tabel 3. 1 menjelaskan perangkat keras yang digunakan pada penelitian ini.</w:t>
      </w:r>
    </w:p>
    <w:p w14:paraId="1CF700BF">
      <w:pPr>
        <w:pStyle w:val="11"/>
        <w:keepNext/>
        <w:jc w:val="center"/>
        <w:rPr>
          <w:b/>
          <w:i w:val="0"/>
          <w:color w:val="auto"/>
          <w:sz w:val="24"/>
        </w:rPr>
      </w:pPr>
      <w:bookmarkStart w:id="44" w:name="_Toc235035441"/>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rPr>
        <w:t xml:space="preserve"> Perangkat Keras Penelitian</w:t>
      </w:r>
      <w:bookmarkEnd w:id="44"/>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727"/>
        <w:gridCol w:w="5548"/>
      </w:tblGrid>
      <w:tr w14:paraId="348B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blHeader/>
        </w:trPr>
        <w:tc>
          <w:tcPr>
            <w:tcW w:w="704" w:type="dxa"/>
            <w:vAlign w:val="center"/>
          </w:tcPr>
          <w:p w14:paraId="4AE4521D">
            <w:pPr>
              <w:spacing w:after="0" w:line="240" w:lineRule="auto"/>
              <w:jc w:val="center"/>
              <w:rPr>
                <w:rFonts w:eastAsia="Times New Roman" w:cs="Times New Roman"/>
                <w:b/>
                <w:bCs/>
                <w:color w:val="1F1F1F"/>
                <w:sz w:val="22"/>
                <w:szCs w:val="24"/>
                <w:lang w:val="en-US"/>
              </w:rPr>
            </w:pPr>
            <w:r>
              <w:rPr>
                <w:rFonts w:eastAsia="Times New Roman" w:cs="Times New Roman"/>
                <w:b/>
                <w:bCs/>
                <w:color w:val="1F1F1F"/>
                <w:sz w:val="22"/>
                <w:szCs w:val="24"/>
                <w:lang w:val="en-US"/>
              </w:rPr>
              <w:t>No.</w:t>
            </w:r>
          </w:p>
        </w:tc>
        <w:tc>
          <w:tcPr>
            <w:tcW w:w="1727" w:type="dxa"/>
            <w:vAlign w:val="center"/>
          </w:tcPr>
          <w:p w14:paraId="342EFB40">
            <w:pPr>
              <w:spacing w:after="0" w:line="240" w:lineRule="auto"/>
              <w:jc w:val="center"/>
              <w:rPr>
                <w:rFonts w:eastAsia="Times New Roman" w:cs="Times New Roman"/>
                <w:color w:val="1F1F1F"/>
                <w:sz w:val="22"/>
                <w:szCs w:val="24"/>
              </w:rPr>
            </w:pPr>
            <w:r>
              <w:rPr>
                <w:rFonts w:eastAsia="Times New Roman" w:cs="Times New Roman"/>
                <w:b/>
                <w:bCs/>
                <w:color w:val="1F1F1F"/>
                <w:sz w:val="22"/>
                <w:szCs w:val="24"/>
              </w:rPr>
              <w:t>Komponen</w:t>
            </w:r>
          </w:p>
        </w:tc>
        <w:tc>
          <w:tcPr>
            <w:tcW w:w="0" w:type="auto"/>
            <w:vAlign w:val="center"/>
          </w:tcPr>
          <w:p w14:paraId="0969A27E">
            <w:pPr>
              <w:spacing w:after="0" w:line="240" w:lineRule="auto"/>
              <w:jc w:val="center"/>
              <w:rPr>
                <w:rFonts w:eastAsia="Times New Roman" w:cs="Times New Roman"/>
                <w:color w:val="1F1F1F"/>
                <w:sz w:val="22"/>
                <w:szCs w:val="24"/>
              </w:rPr>
            </w:pPr>
            <w:r>
              <w:rPr>
                <w:rFonts w:eastAsia="Times New Roman" w:cs="Times New Roman"/>
                <w:b/>
                <w:bCs/>
                <w:color w:val="1F1F1F"/>
                <w:sz w:val="22"/>
                <w:szCs w:val="24"/>
              </w:rPr>
              <w:t>Spesifikasi</w:t>
            </w:r>
          </w:p>
        </w:tc>
      </w:tr>
      <w:tr w14:paraId="5920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1EA766F">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1.</w:t>
            </w:r>
          </w:p>
        </w:tc>
        <w:tc>
          <w:tcPr>
            <w:tcW w:w="1727" w:type="dxa"/>
            <w:vAlign w:val="center"/>
          </w:tcPr>
          <w:p w14:paraId="7ACE5A89">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Unit Komputasi</w:t>
            </w:r>
          </w:p>
        </w:tc>
        <w:tc>
          <w:tcPr>
            <w:tcW w:w="0" w:type="auto"/>
            <w:vAlign w:val="center"/>
          </w:tcPr>
          <w:p w14:paraId="59742E4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Acer Predator Helios Neo 16 (PHN16-72)</w:t>
            </w:r>
          </w:p>
        </w:tc>
      </w:tr>
      <w:tr w14:paraId="1116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vAlign w:val="center"/>
          </w:tcPr>
          <w:p w14:paraId="4BC43F4E">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2.</w:t>
            </w:r>
          </w:p>
        </w:tc>
        <w:tc>
          <w:tcPr>
            <w:tcW w:w="1727" w:type="dxa"/>
            <w:vAlign w:val="center"/>
          </w:tcPr>
          <w:p w14:paraId="42BD6FB9">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Processor (CPU)</w:t>
            </w:r>
          </w:p>
        </w:tc>
        <w:tc>
          <w:tcPr>
            <w:tcW w:w="0" w:type="auto"/>
            <w:vAlign w:val="center"/>
          </w:tcPr>
          <w:p w14:paraId="7873E49F">
            <w:pPr>
              <w:spacing w:after="0" w:line="240" w:lineRule="auto"/>
              <w:jc w:val="center"/>
              <w:rPr>
                <w:rFonts w:eastAsia="Times New Roman" w:cs="Times New Roman"/>
                <w:color w:val="1F1F1F"/>
                <w:sz w:val="22"/>
                <w:szCs w:val="24"/>
              </w:rPr>
            </w:pPr>
            <w:r>
              <w:rPr>
                <w:rFonts w:eastAsia="Times New Roman" w:cs="Times New Roman"/>
                <w:color w:val="1F1F1F"/>
                <w:sz w:val="22"/>
                <w:szCs w:val="24"/>
              </w:rPr>
              <w:t>Intel® Core™ i9-14900HX (24 Cores, Max Turbo 5.8 GHz)</w:t>
            </w:r>
          </w:p>
        </w:tc>
      </w:tr>
      <w:tr w14:paraId="0976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04" w:type="dxa"/>
            <w:vAlign w:val="center"/>
          </w:tcPr>
          <w:p w14:paraId="29652C73">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3.</w:t>
            </w:r>
          </w:p>
        </w:tc>
        <w:tc>
          <w:tcPr>
            <w:tcW w:w="1727" w:type="dxa"/>
            <w:vAlign w:val="center"/>
          </w:tcPr>
          <w:p w14:paraId="296705DB">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Kartu Grafis (GPU)</w:t>
            </w:r>
          </w:p>
        </w:tc>
        <w:tc>
          <w:tcPr>
            <w:tcW w:w="0" w:type="auto"/>
            <w:vAlign w:val="center"/>
          </w:tcPr>
          <w:p w14:paraId="7058605F">
            <w:pPr>
              <w:spacing w:after="0" w:line="240" w:lineRule="auto"/>
              <w:jc w:val="center"/>
              <w:rPr>
                <w:rFonts w:eastAsia="Times New Roman" w:cs="Times New Roman"/>
                <w:color w:val="1F1F1F"/>
                <w:sz w:val="22"/>
                <w:szCs w:val="24"/>
              </w:rPr>
            </w:pPr>
            <w:r>
              <w:rPr>
                <w:rFonts w:eastAsia="Times New Roman" w:cs="Times New Roman"/>
                <w:color w:val="1F1F1F"/>
                <w:sz w:val="22"/>
                <w:szCs w:val="24"/>
              </w:rPr>
              <w:t>NVIDIA GeForce RTX 4060 Laptop GPU (8 GB GDDR6)</w:t>
            </w:r>
          </w:p>
        </w:tc>
      </w:tr>
      <w:tr w14:paraId="0890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704" w:type="dxa"/>
            <w:vAlign w:val="center"/>
          </w:tcPr>
          <w:p w14:paraId="1260D3DB">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4.</w:t>
            </w:r>
          </w:p>
        </w:tc>
        <w:tc>
          <w:tcPr>
            <w:tcW w:w="1727" w:type="dxa"/>
            <w:vAlign w:val="center"/>
          </w:tcPr>
          <w:p w14:paraId="27AC2DC2">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Memori (RAM)</w:t>
            </w:r>
          </w:p>
        </w:tc>
        <w:tc>
          <w:tcPr>
            <w:tcW w:w="0" w:type="auto"/>
            <w:vAlign w:val="center"/>
          </w:tcPr>
          <w:p w14:paraId="136443F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16 GB DDR5</w:t>
            </w:r>
          </w:p>
        </w:tc>
      </w:tr>
      <w:tr w14:paraId="0AF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04" w:type="dxa"/>
            <w:vAlign w:val="center"/>
          </w:tcPr>
          <w:p w14:paraId="22375471">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5.</w:t>
            </w:r>
          </w:p>
        </w:tc>
        <w:tc>
          <w:tcPr>
            <w:tcW w:w="1727" w:type="dxa"/>
            <w:vAlign w:val="center"/>
          </w:tcPr>
          <w:p w14:paraId="3FAF3A88">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Penyimpanan</w:t>
            </w:r>
          </w:p>
        </w:tc>
        <w:tc>
          <w:tcPr>
            <w:tcW w:w="0" w:type="auto"/>
            <w:vAlign w:val="center"/>
          </w:tcPr>
          <w:p w14:paraId="4065582F">
            <w:pPr>
              <w:spacing w:after="0" w:line="240" w:lineRule="auto"/>
              <w:jc w:val="center"/>
              <w:rPr>
                <w:rFonts w:eastAsia="Times New Roman" w:cs="Times New Roman"/>
                <w:color w:val="1F1F1F"/>
                <w:sz w:val="22"/>
                <w:szCs w:val="24"/>
              </w:rPr>
            </w:pPr>
            <w:r>
              <w:rPr>
                <w:rFonts w:eastAsia="Times New Roman" w:cs="Times New Roman"/>
                <w:color w:val="1F1F1F"/>
                <w:sz w:val="22"/>
                <w:szCs w:val="24"/>
              </w:rPr>
              <w:t>SSD NVMe 1 TB</w:t>
            </w:r>
          </w:p>
        </w:tc>
      </w:tr>
    </w:tbl>
    <w:p w14:paraId="708F1A5F">
      <w:pPr>
        <w:spacing w:before="240" w:after="0"/>
        <w:rPr>
          <w:lang w:val="en-US"/>
        </w:rPr>
      </w:pPr>
      <w:r>
        <w:rPr>
          <w:lang w:val="en-US"/>
        </w:rPr>
        <w:t>Tabel 3. 2 menjelaskan perangkat lunak yang digunakan pada penelitian ini.</w:t>
      </w:r>
    </w:p>
    <w:p w14:paraId="3CF3B36F">
      <w:pPr>
        <w:pStyle w:val="11"/>
        <w:keepNext/>
        <w:jc w:val="center"/>
        <w:rPr>
          <w:b/>
          <w:i w:val="0"/>
          <w:color w:val="auto"/>
          <w:sz w:val="24"/>
        </w:rPr>
      </w:pPr>
      <w:bookmarkStart w:id="45" w:name="_Toc235035442"/>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rPr>
        <w:t xml:space="preserve"> Perangkat Lunak Penelitian</w:t>
      </w:r>
      <w:bookmarkEnd w:id="45"/>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87"/>
        <w:gridCol w:w="2306"/>
        <w:gridCol w:w="3420"/>
      </w:tblGrid>
      <w:tr w14:paraId="319E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blHeader/>
        </w:trPr>
        <w:tc>
          <w:tcPr>
            <w:tcW w:w="0" w:type="auto"/>
            <w:vAlign w:val="center"/>
          </w:tcPr>
          <w:p w14:paraId="6C378C27">
            <w:pPr>
              <w:spacing w:after="0" w:line="240" w:lineRule="auto"/>
              <w:jc w:val="center"/>
              <w:rPr>
                <w:rFonts w:eastAsia="Times New Roman" w:cs="Times New Roman"/>
                <w:b/>
                <w:bCs/>
                <w:color w:val="1F1F1F"/>
                <w:sz w:val="22"/>
                <w:szCs w:val="24"/>
                <w:lang w:val="en-US"/>
              </w:rPr>
            </w:pPr>
            <w:r>
              <w:rPr>
                <w:rFonts w:eastAsia="Times New Roman" w:cs="Times New Roman"/>
                <w:b/>
                <w:bCs/>
                <w:color w:val="1F1F1F"/>
                <w:sz w:val="22"/>
                <w:szCs w:val="24"/>
                <w:lang w:val="en-US"/>
              </w:rPr>
              <w:t>No.</w:t>
            </w:r>
          </w:p>
        </w:tc>
        <w:tc>
          <w:tcPr>
            <w:tcW w:w="0" w:type="auto"/>
            <w:vAlign w:val="center"/>
          </w:tcPr>
          <w:p w14:paraId="2A08A46A">
            <w:pPr>
              <w:spacing w:after="0" w:line="240" w:lineRule="auto"/>
              <w:jc w:val="center"/>
              <w:rPr>
                <w:rFonts w:eastAsia="Times New Roman" w:cs="Times New Roman"/>
                <w:color w:val="1F1F1F"/>
                <w:sz w:val="22"/>
                <w:szCs w:val="24"/>
              </w:rPr>
            </w:pPr>
            <w:r>
              <w:rPr>
                <w:rFonts w:eastAsia="Times New Roman" w:cs="Times New Roman"/>
                <w:b/>
                <w:bCs/>
                <w:color w:val="1F1F1F"/>
                <w:sz w:val="22"/>
                <w:szCs w:val="24"/>
              </w:rPr>
              <w:t>Kategori</w:t>
            </w:r>
          </w:p>
        </w:tc>
        <w:tc>
          <w:tcPr>
            <w:tcW w:w="0" w:type="auto"/>
            <w:vAlign w:val="center"/>
          </w:tcPr>
          <w:p w14:paraId="28982DE2">
            <w:pPr>
              <w:spacing w:after="0" w:line="240" w:lineRule="auto"/>
              <w:jc w:val="center"/>
              <w:rPr>
                <w:rFonts w:eastAsia="Times New Roman" w:cs="Times New Roman"/>
                <w:color w:val="1F1F1F"/>
                <w:sz w:val="22"/>
                <w:szCs w:val="24"/>
              </w:rPr>
            </w:pPr>
            <w:r>
              <w:rPr>
                <w:rFonts w:eastAsia="Times New Roman" w:cs="Times New Roman"/>
                <w:b/>
                <w:bCs/>
                <w:color w:val="1F1F1F"/>
                <w:sz w:val="22"/>
                <w:szCs w:val="24"/>
              </w:rPr>
              <w:t xml:space="preserve">Perangkat Lunak </w:t>
            </w:r>
          </w:p>
        </w:tc>
        <w:tc>
          <w:tcPr>
            <w:tcW w:w="0" w:type="auto"/>
            <w:vAlign w:val="center"/>
          </w:tcPr>
          <w:p w14:paraId="7124F37E">
            <w:pPr>
              <w:spacing w:after="0" w:line="240" w:lineRule="auto"/>
              <w:jc w:val="center"/>
              <w:rPr>
                <w:rFonts w:eastAsia="Times New Roman" w:cs="Times New Roman"/>
                <w:color w:val="1F1F1F"/>
                <w:sz w:val="22"/>
                <w:szCs w:val="24"/>
              </w:rPr>
            </w:pPr>
            <w:r>
              <w:rPr>
                <w:rFonts w:eastAsia="Times New Roman" w:cs="Times New Roman"/>
                <w:b/>
                <w:bCs/>
                <w:color w:val="1F1F1F"/>
                <w:sz w:val="22"/>
                <w:szCs w:val="24"/>
              </w:rPr>
              <w:t>Fungsi Utama</w:t>
            </w:r>
          </w:p>
        </w:tc>
      </w:tr>
      <w:tr w14:paraId="4330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0" w:type="auto"/>
            <w:vAlign w:val="center"/>
          </w:tcPr>
          <w:p w14:paraId="18273825">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1.</w:t>
            </w:r>
          </w:p>
        </w:tc>
        <w:tc>
          <w:tcPr>
            <w:tcW w:w="0" w:type="auto"/>
            <w:vAlign w:val="center"/>
          </w:tcPr>
          <w:p w14:paraId="33A1987E">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Sistem Operasi</w:t>
            </w:r>
          </w:p>
        </w:tc>
        <w:tc>
          <w:tcPr>
            <w:tcW w:w="0" w:type="auto"/>
            <w:vAlign w:val="center"/>
          </w:tcPr>
          <w:p w14:paraId="5963E453">
            <w:pPr>
              <w:spacing w:after="0" w:line="240" w:lineRule="auto"/>
              <w:jc w:val="center"/>
              <w:rPr>
                <w:rFonts w:eastAsia="Times New Roman" w:cs="Times New Roman"/>
                <w:color w:val="1F1F1F"/>
                <w:sz w:val="22"/>
                <w:szCs w:val="24"/>
              </w:rPr>
            </w:pPr>
            <w:r>
              <w:rPr>
                <w:rFonts w:eastAsia="Times New Roman" w:cs="Times New Roman"/>
                <w:color w:val="1F1F1F"/>
                <w:sz w:val="22"/>
                <w:szCs w:val="24"/>
              </w:rPr>
              <w:t>Windows 11 (64-bit)</w:t>
            </w:r>
          </w:p>
        </w:tc>
        <w:tc>
          <w:tcPr>
            <w:tcW w:w="0" w:type="auto"/>
            <w:vAlign w:val="center"/>
          </w:tcPr>
          <w:p w14:paraId="683B3A16">
            <w:pPr>
              <w:spacing w:after="0" w:line="240" w:lineRule="auto"/>
              <w:jc w:val="center"/>
              <w:rPr>
                <w:rFonts w:eastAsia="Times New Roman" w:cs="Times New Roman"/>
                <w:color w:val="1F1F1F"/>
                <w:sz w:val="22"/>
                <w:szCs w:val="24"/>
              </w:rPr>
            </w:pPr>
            <w:r>
              <w:rPr>
                <w:rFonts w:eastAsia="Times New Roman" w:cs="Times New Roman"/>
                <w:color w:val="1F1F1F"/>
                <w:sz w:val="22"/>
                <w:szCs w:val="24"/>
              </w:rPr>
              <w:t>Lingkungan dasar eksekusi sistem</w:t>
            </w:r>
          </w:p>
        </w:tc>
      </w:tr>
      <w:tr w14:paraId="2A52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0" w:type="auto"/>
            <w:vAlign w:val="center"/>
          </w:tcPr>
          <w:p w14:paraId="310ABC4E">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2.</w:t>
            </w:r>
          </w:p>
        </w:tc>
        <w:tc>
          <w:tcPr>
            <w:tcW w:w="0" w:type="auto"/>
            <w:vAlign w:val="center"/>
          </w:tcPr>
          <w:p w14:paraId="03E6BD9A">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Bahasa Pemrograman</w:t>
            </w:r>
          </w:p>
        </w:tc>
        <w:tc>
          <w:tcPr>
            <w:tcW w:w="0" w:type="auto"/>
            <w:vAlign w:val="center"/>
          </w:tcPr>
          <w:p w14:paraId="46047870">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rPr>
              <w:t xml:space="preserve">Python </w:t>
            </w:r>
            <w:r>
              <w:rPr>
                <w:rFonts w:eastAsia="Times New Roman" w:cs="Times New Roman"/>
                <w:color w:val="1F1F1F"/>
                <w:sz w:val="22"/>
                <w:szCs w:val="24"/>
                <w:lang w:val="en-US"/>
              </w:rPr>
              <w:t>(</w:t>
            </w:r>
            <w:r>
              <w:rPr>
                <w:rFonts w:eastAsia="Times New Roman" w:cs="Times New Roman"/>
                <w:color w:val="1F1F1F"/>
                <w:sz w:val="22"/>
                <w:szCs w:val="24"/>
              </w:rPr>
              <w:t>≥3.10</w:t>
            </w:r>
            <w:r>
              <w:rPr>
                <w:rFonts w:eastAsia="Times New Roman" w:cs="Times New Roman"/>
                <w:color w:val="1F1F1F"/>
                <w:sz w:val="22"/>
                <w:szCs w:val="24"/>
                <w:lang w:val="en-US"/>
              </w:rPr>
              <w:t>)</w:t>
            </w:r>
          </w:p>
        </w:tc>
        <w:tc>
          <w:tcPr>
            <w:tcW w:w="0" w:type="auto"/>
            <w:vAlign w:val="center"/>
          </w:tcPr>
          <w:p w14:paraId="348D4312">
            <w:pPr>
              <w:spacing w:after="0" w:line="240" w:lineRule="auto"/>
              <w:jc w:val="center"/>
              <w:rPr>
                <w:rFonts w:eastAsia="Times New Roman" w:cs="Times New Roman"/>
                <w:color w:val="1F1F1F"/>
                <w:sz w:val="22"/>
                <w:szCs w:val="24"/>
              </w:rPr>
            </w:pPr>
            <w:r>
              <w:rPr>
                <w:rFonts w:eastAsia="Times New Roman" w:cs="Times New Roman"/>
                <w:color w:val="1F1F1F"/>
                <w:sz w:val="22"/>
                <w:szCs w:val="24"/>
              </w:rPr>
              <w:t>Bahasa utama pengembangan model</w:t>
            </w:r>
          </w:p>
        </w:tc>
      </w:tr>
      <w:tr w14:paraId="588C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0" w:type="auto"/>
            <w:vAlign w:val="center"/>
          </w:tcPr>
          <w:p w14:paraId="46015368">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3.</w:t>
            </w:r>
          </w:p>
        </w:tc>
        <w:tc>
          <w:tcPr>
            <w:tcW w:w="0" w:type="auto"/>
            <w:vAlign w:val="center"/>
          </w:tcPr>
          <w:p w14:paraId="3BE98F5A">
            <w:pPr>
              <w:spacing w:after="0" w:line="240" w:lineRule="auto"/>
              <w:jc w:val="center"/>
              <w:rPr>
                <w:rFonts w:eastAsia="Times New Roman" w:cs="Times New Roman"/>
                <w:i/>
                <w:color w:val="1F1F1F"/>
                <w:sz w:val="22"/>
                <w:szCs w:val="24"/>
              </w:rPr>
            </w:pPr>
            <w:r>
              <w:rPr>
                <w:rFonts w:eastAsia="Times New Roman" w:cs="Times New Roman"/>
                <w:bCs/>
                <w:i/>
                <w:color w:val="1F1F1F"/>
                <w:sz w:val="22"/>
                <w:szCs w:val="24"/>
              </w:rPr>
              <w:t>Deep Learning</w:t>
            </w:r>
          </w:p>
        </w:tc>
        <w:tc>
          <w:tcPr>
            <w:tcW w:w="0" w:type="auto"/>
            <w:vAlign w:val="center"/>
          </w:tcPr>
          <w:p w14:paraId="0A2D4FFB">
            <w:pPr>
              <w:spacing w:after="0" w:line="240" w:lineRule="auto"/>
              <w:jc w:val="center"/>
              <w:rPr>
                <w:rFonts w:eastAsia="Times New Roman" w:cs="Times New Roman"/>
                <w:color w:val="1F1F1F"/>
                <w:sz w:val="22"/>
                <w:szCs w:val="24"/>
              </w:rPr>
            </w:pPr>
            <w:r>
              <w:rPr>
                <w:rFonts w:eastAsia="Times New Roman" w:cs="Times New Roman"/>
                <w:color w:val="1F1F1F"/>
                <w:sz w:val="22"/>
                <w:szCs w:val="24"/>
              </w:rPr>
              <w:t>PyTorch (≥ 2.1.0)</w:t>
            </w:r>
          </w:p>
        </w:tc>
        <w:tc>
          <w:tcPr>
            <w:tcW w:w="0" w:type="auto"/>
            <w:vAlign w:val="center"/>
          </w:tcPr>
          <w:p w14:paraId="07621353">
            <w:pPr>
              <w:spacing w:after="0" w:line="240" w:lineRule="auto"/>
              <w:jc w:val="center"/>
              <w:rPr>
                <w:rFonts w:eastAsia="Times New Roman" w:cs="Times New Roman"/>
                <w:color w:val="1F1F1F"/>
                <w:sz w:val="22"/>
                <w:szCs w:val="24"/>
              </w:rPr>
            </w:pPr>
            <w:r>
              <w:rPr>
                <w:rFonts w:eastAsia="Times New Roman" w:cs="Times New Roman"/>
                <w:color w:val="1F1F1F"/>
                <w:sz w:val="22"/>
                <w:szCs w:val="24"/>
              </w:rPr>
              <w:t xml:space="preserve">Implementasi </w:t>
            </w:r>
            <w:r>
              <w:rPr>
                <w:rFonts w:eastAsia="Times New Roman" w:cs="Times New Roman"/>
                <w:color w:val="1F1F1F"/>
                <w:sz w:val="22"/>
                <w:szCs w:val="24"/>
                <w:lang w:val="en-US"/>
              </w:rPr>
              <w:t>Model</w:t>
            </w:r>
            <w:r>
              <w:rPr>
                <w:rFonts w:eastAsia="Times New Roman" w:cs="Times New Roman"/>
                <w:color w:val="1F1F1F"/>
                <w:sz w:val="22"/>
                <w:szCs w:val="24"/>
              </w:rPr>
              <w:t xml:space="preserve"> </w:t>
            </w:r>
            <w:r>
              <w:rPr>
                <w:rFonts w:eastAsia="Times New Roman" w:cs="Times New Roman"/>
                <w:color w:val="1F1F1F"/>
                <w:sz w:val="22"/>
                <w:szCs w:val="24"/>
                <w:lang w:val="en-US"/>
              </w:rPr>
              <w:t xml:space="preserve">dan </w:t>
            </w:r>
            <w:r>
              <w:rPr>
                <w:rFonts w:eastAsia="Times New Roman" w:cs="Times New Roman"/>
                <w:color w:val="1F1F1F"/>
                <w:sz w:val="22"/>
                <w:szCs w:val="24"/>
              </w:rPr>
              <w:t>akselerasi GPU</w:t>
            </w:r>
          </w:p>
        </w:tc>
      </w:tr>
      <w:tr w14:paraId="161C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0" w:type="auto"/>
            <w:vAlign w:val="center"/>
          </w:tcPr>
          <w:p w14:paraId="0E10A4B8">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4.</w:t>
            </w:r>
          </w:p>
        </w:tc>
        <w:tc>
          <w:tcPr>
            <w:tcW w:w="0" w:type="auto"/>
            <w:vAlign w:val="center"/>
          </w:tcPr>
          <w:p w14:paraId="2F8BD048">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Akselerator Komputasi</w:t>
            </w:r>
          </w:p>
        </w:tc>
        <w:tc>
          <w:tcPr>
            <w:tcW w:w="0" w:type="auto"/>
            <w:vAlign w:val="center"/>
          </w:tcPr>
          <w:p w14:paraId="21C21ECB">
            <w:pPr>
              <w:spacing w:after="0" w:line="240" w:lineRule="auto"/>
              <w:jc w:val="center"/>
              <w:rPr>
                <w:rFonts w:eastAsia="Times New Roman" w:cs="Times New Roman"/>
                <w:color w:val="1F1F1F"/>
                <w:sz w:val="22"/>
                <w:szCs w:val="24"/>
              </w:rPr>
            </w:pPr>
            <w:r>
              <w:rPr>
                <w:rFonts w:eastAsia="Times New Roman" w:cs="Times New Roman"/>
                <w:color w:val="1F1F1F"/>
                <w:sz w:val="22"/>
                <w:szCs w:val="24"/>
              </w:rPr>
              <w:t xml:space="preserve">CUDA Toolkit </w:t>
            </w:r>
            <w:r>
              <w:rPr>
                <w:rFonts w:eastAsia="Times New Roman" w:cs="Times New Roman"/>
                <w:color w:val="1F1F1F"/>
                <w:sz w:val="22"/>
                <w:szCs w:val="24"/>
                <w:lang w:val="en-US"/>
              </w:rPr>
              <w:t>dan</w:t>
            </w:r>
            <w:r>
              <w:rPr>
                <w:rFonts w:eastAsia="Times New Roman" w:cs="Times New Roman"/>
                <w:color w:val="1F1F1F"/>
                <w:sz w:val="22"/>
                <w:szCs w:val="24"/>
              </w:rPr>
              <w:t xml:space="preserve"> cuDNN</w:t>
            </w:r>
          </w:p>
        </w:tc>
        <w:tc>
          <w:tcPr>
            <w:tcW w:w="0" w:type="auto"/>
            <w:vAlign w:val="center"/>
          </w:tcPr>
          <w:p w14:paraId="2F2413E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Optimalisasi komputasi matriks pada GPU NVIDIA</w:t>
            </w:r>
          </w:p>
        </w:tc>
      </w:tr>
      <w:tr w14:paraId="6915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0" w:type="auto"/>
            <w:vAlign w:val="center"/>
          </w:tcPr>
          <w:p w14:paraId="6167CE32">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5.</w:t>
            </w:r>
          </w:p>
        </w:tc>
        <w:tc>
          <w:tcPr>
            <w:tcW w:w="0" w:type="auto"/>
            <w:vAlign w:val="center"/>
          </w:tcPr>
          <w:p w14:paraId="665E4574">
            <w:pPr>
              <w:spacing w:after="0" w:line="240" w:lineRule="auto"/>
              <w:jc w:val="center"/>
              <w:rPr>
                <w:rFonts w:eastAsia="Times New Roman" w:cs="Times New Roman"/>
                <w:i/>
                <w:color w:val="1F1F1F"/>
                <w:sz w:val="22"/>
                <w:szCs w:val="24"/>
              </w:rPr>
            </w:pPr>
            <w:r>
              <w:rPr>
                <w:rFonts w:eastAsia="Times New Roman" w:cs="Times New Roman"/>
                <w:bCs/>
                <w:i/>
                <w:color w:val="1F1F1F"/>
                <w:sz w:val="22"/>
                <w:szCs w:val="24"/>
              </w:rPr>
              <w:t>Machine Learning</w:t>
            </w:r>
          </w:p>
        </w:tc>
        <w:tc>
          <w:tcPr>
            <w:tcW w:w="0" w:type="auto"/>
            <w:vAlign w:val="center"/>
          </w:tcPr>
          <w:p w14:paraId="499B658E">
            <w:pPr>
              <w:spacing w:after="0" w:line="240" w:lineRule="auto"/>
              <w:jc w:val="center"/>
              <w:rPr>
                <w:rFonts w:eastAsia="Times New Roman" w:cs="Times New Roman"/>
                <w:color w:val="1F1F1F"/>
                <w:sz w:val="22"/>
                <w:szCs w:val="24"/>
              </w:rPr>
            </w:pPr>
            <w:r>
              <w:rPr>
                <w:rFonts w:eastAsia="Times New Roman" w:cs="Times New Roman"/>
                <w:color w:val="1F1F1F"/>
                <w:sz w:val="22"/>
                <w:szCs w:val="24"/>
              </w:rPr>
              <w:t>Scikit-learn (≥ 1.3.0)</w:t>
            </w:r>
          </w:p>
        </w:tc>
        <w:tc>
          <w:tcPr>
            <w:tcW w:w="0" w:type="auto"/>
            <w:vAlign w:val="center"/>
          </w:tcPr>
          <w:p w14:paraId="6993E06F">
            <w:pPr>
              <w:spacing w:after="0" w:line="240" w:lineRule="auto"/>
              <w:jc w:val="center"/>
              <w:rPr>
                <w:rFonts w:eastAsia="Times New Roman" w:cs="Times New Roman"/>
                <w:color w:val="1F1F1F"/>
                <w:sz w:val="22"/>
                <w:szCs w:val="24"/>
              </w:rPr>
            </w:pPr>
            <w:r>
              <w:rPr>
                <w:rFonts w:eastAsia="Times New Roman" w:cs="Times New Roman"/>
                <w:i/>
                <w:color w:val="1F1F1F"/>
                <w:sz w:val="22"/>
                <w:szCs w:val="24"/>
              </w:rPr>
              <w:t>Preprocessing</w:t>
            </w:r>
            <w:r>
              <w:rPr>
                <w:rFonts w:eastAsia="Times New Roman" w:cs="Times New Roman"/>
                <w:color w:val="1F1F1F"/>
                <w:sz w:val="22"/>
                <w:szCs w:val="24"/>
              </w:rPr>
              <w:t xml:space="preserve"> data </w:t>
            </w:r>
            <w:r>
              <w:rPr>
                <w:rFonts w:eastAsia="Times New Roman" w:cs="Times New Roman"/>
                <w:color w:val="1F1F1F"/>
                <w:sz w:val="22"/>
                <w:szCs w:val="24"/>
                <w:lang w:val="en-US"/>
              </w:rPr>
              <w:t>dan</w:t>
            </w:r>
            <w:r>
              <w:rPr>
                <w:rFonts w:eastAsia="Times New Roman" w:cs="Times New Roman"/>
                <w:color w:val="1F1F1F"/>
                <w:sz w:val="22"/>
                <w:szCs w:val="24"/>
              </w:rPr>
              <w:t xml:space="preserve"> model pembanding (</w:t>
            </w:r>
            <w:r>
              <w:rPr>
                <w:rFonts w:eastAsia="Times New Roman" w:cs="Times New Roman"/>
                <w:i/>
                <w:iCs/>
                <w:color w:val="1F1F1F"/>
                <w:sz w:val="22"/>
                <w:szCs w:val="24"/>
              </w:rPr>
              <w:t>baseline</w:t>
            </w:r>
            <w:r>
              <w:rPr>
                <w:rFonts w:eastAsia="Times New Roman" w:cs="Times New Roman"/>
                <w:color w:val="1F1F1F"/>
                <w:sz w:val="22"/>
                <w:szCs w:val="24"/>
              </w:rPr>
              <w:t>)</w:t>
            </w:r>
          </w:p>
        </w:tc>
      </w:tr>
      <w:tr w14:paraId="2D04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B019703">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6.</w:t>
            </w:r>
          </w:p>
        </w:tc>
        <w:tc>
          <w:tcPr>
            <w:tcW w:w="0" w:type="auto"/>
            <w:vAlign w:val="center"/>
          </w:tcPr>
          <w:p w14:paraId="570B15A5">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Algoritma Optimasi</w:t>
            </w:r>
          </w:p>
        </w:tc>
        <w:tc>
          <w:tcPr>
            <w:tcW w:w="0" w:type="auto"/>
            <w:vAlign w:val="center"/>
          </w:tcPr>
          <w:p w14:paraId="5F4A46B0">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rPr>
              <w:t>Custom IFPOA-X</w:t>
            </w:r>
            <w:r>
              <w:rPr>
                <w:rFonts w:eastAsia="Times New Roman" w:cs="Times New Roman"/>
                <w:color w:val="1F1F1F"/>
                <w:sz w:val="22"/>
                <w:szCs w:val="24"/>
                <w:lang w:val="en-US"/>
              </w:rPr>
              <w:t>, FPA, PSO, BO</w:t>
            </w:r>
          </w:p>
        </w:tc>
        <w:tc>
          <w:tcPr>
            <w:tcW w:w="0" w:type="auto"/>
            <w:vAlign w:val="center"/>
          </w:tcPr>
          <w:p w14:paraId="3F86AF6B">
            <w:pPr>
              <w:spacing w:after="0" w:line="240" w:lineRule="auto"/>
              <w:jc w:val="center"/>
              <w:rPr>
                <w:rFonts w:eastAsia="Times New Roman" w:cs="Times New Roman"/>
                <w:color w:val="1F1F1F"/>
                <w:sz w:val="22"/>
                <w:szCs w:val="24"/>
              </w:rPr>
            </w:pPr>
            <w:r>
              <w:rPr>
                <w:rFonts w:eastAsia="Times New Roman" w:cs="Times New Roman"/>
                <w:color w:val="1F1F1F"/>
                <w:sz w:val="22"/>
                <w:szCs w:val="24"/>
              </w:rPr>
              <w:t xml:space="preserve">Optimasi </w:t>
            </w:r>
            <w:r>
              <w:rPr>
                <w:rFonts w:eastAsia="Times New Roman" w:cs="Times New Roman"/>
                <w:i/>
                <w:iCs/>
                <w:color w:val="1F1F1F"/>
                <w:sz w:val="22"/>
                <w:szCs w:val="24"/>
              </w:rPr>
              <w:t>hyperparameter</w:t>
            </w:r>
            <w:r>
              <w:rPr>
                <w:rFonts w:eastAsia="Times New Roman" w:cs="Times New Roman"/>
                <w:color w:val="1F1F1F"/>
                <w:sz w:val="22"/>
                <w:szCs w:val="24"/>
              </w:rPr>
              <w:t xml:space="preserve"> </w:t>
            </w:r>
          </w:p>
        </w:tc>
      </w:tr>
      <w:tr w14:paraId="10F2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0F363F8">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7.</w:t>
            </w:r>
          </w:p>
        </w:tc>
        <w:tc>
          <w:tcPr>
            <w:tcW w:w="0" w:type="auto"/>
            <w:vAlign w:val="center"/>
          </w:tcPr>
          <w:p w14:paraId="344EEF2C">
            <w:pPr>
              <w:spacing w:after="0" w:line="240" w:lineRule="auto"/>
              <w:jc w:val="center"/>
              <w:rPr>
                <w:rFonts w:eastAsia="Times New Roman" w:cs="Times New Roman"/>
                <w:bCs/>
                <w:i/>
                <w:color w:val="1F1F1F"/>
                <w:sz w:val="22"/>
                <w:szCs w:val="24"/>
                <w:lang w:val="en-US"/>
              </w:rPr>
            </w:pPr>
            <w:r>
              <w:rPr>
                <w:rFonts w:eastAsia="Times New Roman" w:cs="Times New Roman"/>
                <w:bCs/>
                <w:i/>
                <w:color w:val="1F1F1F"/>
                <w:sz w:val="22"/>
                <w:szCs w:val="24"/>
                <w:lang w:val="en-US"/>
              </w:rPr>
              <w:t>Code Editor</w:t>
            </w:r>
          </w:p>
        </w:tc>
        <w:tc>
          <w:tcPr>
            <w:tcW w:w="0" w:type="auto"/>
            <w:vAlign w:val="center"/>
          </w:tcPr>
          <w:p w14:paraId="533A28CD">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Visual Studio Code (1.109.2)</w:t>
            </w:r>
          </w:p>
        </w:tc>
        <w:tc>
          <w:tcPr>
            <w:tcW w:w="0" w:type="auto"/>
            <w:vAlign w:val="center"/>
          </w:tcPr>
          <w:p w14:paraId="793C14B0">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Penulisan dan eksekusi program</w:t>
            </w:r>
          </w:p>
        </w:tc>
      </w:tr>
      <w:tr w14:paraId="3B2F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0" w:type="auto"/>
            <w:vAlign w:val="center"/>
          </w:tcPr>
          <w:p w14:paraId="48813FF6">
            <w:pPr>
              <w:spacing w:after="0"/>
              <w:jc w:val="center"/>
              <w:rPr>
                <w:rFonts w:eastAsia="Times New Roman" w:cs="Times New Roman"/>
                <w:bCs/>
                <w:color w:val="1F1F1F"/>
                <w:sz w:val="22"/>
                <w:szCs w:val="24"/>
                <w:lang w:val="en-US"/>
              </w:rPr>
            </w:pPr>
            <w:r>
              <w:rPr>
                <w:rFonts w:eastAsia="Times New Roman" w:cs="Times New Roman"/>
                <w:bCs/>
                <w:color w:val="1F1F1F"/>
                <w:sz w:val="22"/>
                <w:szCs w:val="24"/>
                <w:lang w:val="en-US"/>
              </w:rPr>
              <w:t>8.</w:t>
            </w:r>
          </w:p>
        </w:tc>
        <w:tc>
          <w:tcPr>
            <w:tcW w:w="0" w:type="auto"/>
            <w:vAlign w:val="center"/>
          </w:tcPr>
          <w:p w14:paraId="217F9FD4">
            <w:pPr>
              <w:spacing w:after="0"/>
              <w:jc w:val="center"/>
              <w:rPr>
                <w:rFonts w:eastAsia="Times New Roman" w:cs="Times New Roman"/>
                <w:bCs/>
                <w:color w:val="1F1F1F"/>
                <w:sz w:val="22"/>
                <w:szCs w:val="24"/>
                <w:lang w:val="en-US"/>
              </w:rPr>
            </w:pPr>
            <w:r>
              <w:rPr>
                <w:rFonts w:eastAsia="Times New Roman" w:cs="Times New Roman"/>
                <w:bCs/>
                <w:color w:val="1F1F1F"/>
                <w:sz w:val="22"/>
                <w:szCs w:val="24"/>
                <w:lang w:val="en-US"/>
              </w:rPr>
              <w:t>Visualisator</w:t>
            </w:r>
          </w:p>
        </w:tc>
        <w:tc>
          <w:tcPr>
            <w:tcW w:w="0" w:type="auto"/>
            <w:vAlign w:val="center"/>
          </w:tcPr>
          <w:p w14:paraId="38234B3A">
            <w:pPr>
              <w:spacing w:after="0"/>
              <w:jc w:val="center"/>
              <w:rPr>
                <w:rFonts w:eastAsia="Times New Roman" w:cs="Times New Roman"/>
                <w:color w:val="1F1F1F"/>
                <w:sz w:val="22"/>
                <w:szCs w:val="24"/>
                <w:lang w:val="en-US"/>
              </w:rPr>
            </w:pPr>
            <w:r>
              <w:rPr>
                <w:rFonts w:eastAsia="Times New Roman" w:cs="Times New Roman"/>
                <w:color w:val="1F1F1F"/>
                <w:sz w:val="22"/>
                <w:szCs w:val="24"/>
                <w:lang w:val="en-US"/>
              </w:rPr>
              <w:t>ArcGIS</w:t>
            </w:r>
          </w:p>
        </w:tc>
        <w:tc>
          <w:tcPr>
            <w:tcW w:w="0" w:type="auto"/>
            <w:vAlign w:val="center"/>
          </w:tcPr>
          <w:p w14:paraId="3D09C74A">
            <w:pPr>
              <w:spacing w:after="0"/>
              <w:jc w:val="center"/>
              <w:rPr>
                <w:rFonts w:eastAsia="Times New Roman" w:cs="Times New Roman"/>
                <w:color w:val="1F1F1F"/>
                <w:sz w:val="22"/>
                <w:szCs w:val="24"/>
                <w:lang w:val="en-US"/>
              </w:rPr>
            </w:pPr>
            <w:r>
              <w:rPr>
                <w:rFonts w:eastAsia="Times New Roman" w:cs="Times New Roman"/>
                <w:color w:val="1F1F1F"/>
                <w:sz w:val="22"/>
                <w:szCs w:val="24"/>
                <w:lang w:val="en-US"/>
              </w:rPr>
              <w:t>Pembuatan Visualisasi Peta</w:t>
            </w:r>
          </w:p>
        </w:tc>
      </w:tr>
    </w:tbl>
    <w:p w14:paraId="1ACB9FA5">
      <w:pPr>
        <w:spacing w:after="0" w:line="240" w:lineRule="auto"/>
        <w:rPr>
          <w:lang w:val="en-US"/>
        </w:rPr>
      </w:pPr>
    </w:p>
    <w:p w14:paraId="10B83E0F">
      <w:pPr>
        <w:pStyle w:val="4"/>
        <w:rPr>
          <w:lang w:val="en-US"/>
        </w:rPr>
      </w:pPr>
      <w:bookmarkStart w:id="46" w:name="_Toc236076738"/>
      <w:r>
        <w:rPr>
          <w:lang w:val="en-US"/>
        </w:rPr>
        <w:t xml:space="preserve">3.3.2 </w:t>
      </w:r>
      <w:r>
        <w:t>Lokasi</w:t>
      </w:r>
      <w:r>
        <w:rPr>
          <w:lang w:val="en-US"/>
        </w:rPr>
        <w:t xml:space="preserve"> Penelitian</w:t>
      </w:r>
      <w:bookmarkEnd w:id="46"/>
    </w:p>
    <w:p w14:paraId="07317302">
      <w:pPr>
        <w:spacing w:after="0"/>
        <w:ind w:firstLine="720"/>
        <w:rPr>
          <w:lang w:val="en-US"/>
        </w:rPr>
      </w:pPr>
      <w:r>
        <w:rPr>
          <w:lang w:val="en-US"/>
        </w:rPr>
        <w:t>Lokasi penelitian dan pengembangan model dilakukan di Laboratorium Instrumentasi Sains dan Analitik, Sekolah Tinggi Meteorologi Klimatologi dan Geofisika. Sedangkan w</w:t>
      </w:r>
      <w:r>
        <w:t>ilayah studi mencakup 1</w:t>
      </w:r>
      <w:r>
        <w:rPr>
          <w:lang w:val="en-US"/>
        </w:rPr>
        <w:t>3</w:t>
      </w:r>
      <w:r>
        <w:t xml:space="preserve"> titik yang merepresentasikan </w:t>
      </w:r>
      <w:r>
        <w:rPr>
          <w:lang w:val="en-US"/>
        </w:rPr>
        <w:t>perbedaan</w:t>
      </w:r>
      <w:r>
        <w:t xml:space="preserve"> </w:t>
      </w:r>
      <w:r>
        <w:rPr>
          <w:lang w:val="en-US"/>
        </w:rPr>
        <w:t xml:space="preserve">pola hujan </w:t>
      </w:r>
      <w:r>
        <w:t xml:space="preserve">di Indonesia, di </w:t>
      </w:r>
      <w:r>
        <w:rPr>
          <w:lang w:val="en-US"/>
        </w:rPr>
        <w:t>sebagian kecil Jawa Barat</w:t>
      </w:r>
      <w:r>
        <w:t xml:space="preserve"> serta perwakilan dari wilayah lain (Nusa Tenggara Timu</w:t>
      </w:r>
      <w:r>
        <w:rPr>
          <w:lang w:val="en-US"/>
        </w:rPr>
        <w:t>r, Sumatera Barat dan Maluku</w:t>
      </w:r>
      <w:r>
        <w:t>)</w:t>
      </w:r>
      <w:r>
        <w:rPr>
          <w:lang w:val="en-US"/>
        </w:rPr>
        <w:t xml:space="preserve"> yang dirincikan pada Tabel 3. 3 dan Gambar 3, 2, 3. 3, 3. 4, dan 3. 5.</w:t>
      </w:r>
      <w:r>
        <w:t xml:space="preserve"> </w:t>
      </w:r>
    </w:p>
    <w:p w14:paraId="0F15D7FD">
      <w:pPr>
        <w:pStyle w:val="11"/>
        <w:keepNext/>
        <w:jc w:val="center"/>
        <w:rPr>
          <w:b/>
          <w:i w:val="0"/>
          <w:color w:val="auto"/>
          <w:sz w:val="24"/>
        </w:rPr>
      </w:pPr>
      <w:bookmarkStart w:id="47" w:name="_Toc235035443"/>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3</w:t>
      </w:r>
      <w:r>
        <w:rPr>
          <w:b/>
          <w:i w:val="0"/>
          <w:color w:val="auto"/>
          <w:sz w:val="24"/>
        </w:rPr>
        <w:fldChar w:fldCharType="end"/>
      </w:r>
      <w:r>
        <w:rPr>
          <w:b/>
          <w:i w:val="0"/>
          <w:color w:val="auto"/>
          <w:sz w:val="24"/>
        </w:rPr>
        <w:t xml:space="preserve"> </w:t>
      </w:r>
      <w:r>
        <w:rPr>
          <w:b/>
          <w:i w:val="0"/>
          <w:color w:val="auto"/>
          <w:sz w:val="24"/>
          <w:lang w:val="en-US"/>
        </w:rPr>
        <w:t>Wilayah Studi</w:t>
      </w:r>
      <w:bookmarkEnd w:id="47"/>
      <w:r>
        <w:rPr>
          <w:b/>
          <w:i w:val="0"/>
          <w:color w:val="auto"/>
          <w:sz w:val="24"/>
        </w:rPr>
        <w:t xml:space="preserve">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2155"/>
        <w:gridCol w:w="1023"/>
        <w:gridCol w:w="1182"/>
        <w:gridCol w:w="1990"/>
        <w:gridCol w:w="1263"/>
      </w:tblGrid>
      <w:tr w14:paraId="6AE9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0" w:type="auto"/>
            <w:vAlign w:val="center"/>
          </w:tcPr>
          <w:p w14:paraId="540BCA98">
            <w:pPr>
              <w:spacing w:after="0" w:line="240" w:lineRule="auto"/>
              <w:jc w:val="center"/>
              <w:rPr>
                <w:rFonts w:eastAsia="Times New Roman" w:cs="Times New Roman"/>
                <w:b/>
                <w:color w:val="1F1F1F"/>
                <w:sz w:val="22"/>
                <w:szCs w:val="24"/>
              </w:rPr>
            </w:pPr>
            <w:r>
              <w:rPr>
                <w:rFonts w:eastAsia="Times New Roman" w:cs="Times New Roman"/>
                <w:b/>
                <w:bCs/>
                <w:color w:val="1F1F1F"/>
                <w:sz w:val="22"/>
                <w:szCs w:val="24"/>
              </w:rPr>
              <w:t>No.</w:t>
            </w:r>
          </w:p>
        </w:tc>
        <w:tc>
          <w:tcPr>
            <w:tcW w:w="0" w:type="auto"/>
            <w:vAlign w:val="center"/>
          </w:tcPr>
          <w:p w14:paraId="63680035">
            <w:pPr>
              <w:spacing w:after="0" w:line="240" w:lineRule="auto"/>
              <w:jc w:val="center"/>
              <w:rPr>
                <w:rFonts w:eastAsia="Times New Roman" w:cs="Times New Roman"/>
                <w:b/>
                <w:color w:val="1F1F1F"/>
                <w:sz w:val="22"/>
                <w:szCs w:val="24"/>
              </w:rPr>
            </w:pPr>
            <w:r>
              <w:rPr>
                <w:rFonts w:eastAsia="Times New Roman" w:cs="Times New Roman"/>
                <w:b/>
                <w:bCs/>
                <w:color w:val="1F1F1F"/>
                <w:sz w:val="22"/>
                <w:szCs w:val="24"/>
              </w:rPr>
              <w:t>Nama Lokasi (</w:t>
            </w:r>
            <w:r>
              <w:rPr>
                <w:rFonts w:eastAsia="Times New Roman" w:cs="Times New Roman"/>
                <w:b/>
                <w:bCs/>
                <w:i/>
                <w:color w:val="1F1F1F"/>
                <w:sz w:val="22"/>
                <w:szCs w:val="24"/>
              </w:rPr>
              <w:t>Site</w:t>
            </w:r>
            <w:r>
              <w:rPr>
                <w:rFonts w:eastAsia="Times New Roman" w:cs="Times New Roman"/>
                <w:b/>
                <w:bCs/>
                <w:color w:val="1F1F1F"/>
                <w:sz w:val="22"/>
                <w:szCs w:val="24"/>
              </w:rPr>
              <w:t>)</w:t>
            </w:r>
          </w:p>
        </w:tc>
        <w:tc>
          <w:tcPr>
            <w:tcW w:w="0" w:type="auto"/>
            <w:vAlign w:val="center"/>
          </w:tcPr>
          <w:p w14:paraId="27DCED0A">
            <w:pPr>
              <w:spacing w:after="0" w:line="240" w:lineRule="auto"/>
              <w:jc w:val="center"/>
              <w:rPr>
                <w:rFonts w:eastAsia="Times New Roman" w:cs="Times New Roman"/>
                <w:b/>
                <w:color w:val="1F1F1F"/>
                <w:sz w:val="22"/>
                <w:szCs w:val="24"/>
              </w:rPr>
            </w:pPr>
            <w:r>
              <w:rPr>
                <w:rFonts w:eastAsia="Times New Roman" w:cs="Times New Roman"/>
                <w:b/>
                <w:bCs/>
                <w:color w:val="1F1F1F"/>
                <w:sz w:val="22"/>
                <w:szCs w:val="24"/>
              </w:rPr>
              <w:t>Latitude</w:t>
            </w:r>
          </w:p>
        </w:tc>
        <w:tc>
          <w:tcPr>
            <w:tcW w:w="0" w:type="auto"/>
            <w:vAlign w:val="center"/>
          </w:tcPr>
          <w:p w14:paraId="617E4ECE">
            <w:pPr>
              <w:spacing w:after="0" w:line="240" w:lineRule="auto"/>
              <w:jc w:val="center"/>
              <w:rPr>
                <w:rFonts w:eastAsia="Times New Roman" w:cs="Times New Roman"/>
                <w:b/>
                <w:color w:val="1F1F1F"/>
                <w:sz w:val="22"/>
                <w:szCs w:val="24"/>
              </w:rPr>
            </w:pPr>
            <w:r>
              <w:rPr>
                <w:rFonts w:eastAsia="Times New Roman" w:cs="Times New Roman"/>
                <w:b/>
                <w:bCs/>
                <w:color w:val="1F1F1F"/>
                <w:sz w:val="22"/>
                <w:szCs w:val="24"/>
              </w:rPr>
              <w:t>Longitude</w:t>
            </w:r>
          </w:p>
        </w:tc>
        <w:tc>
          <w:tcPr>
            <w:tcW w:w="0" w:type="auto"/>
            <w:vAlign w:val="center"/>
          </w:tcPr>
          <w:p w14:paraId="45A21B30">
            <w:pPr>
              <w:spacing w:after="0" w:line="240" w:lineRule="auto"/>
              <w:jc w:val="center"/>
              <w:rPr>
                <w:rFonts w:eastAsia="Times New Roman" w:cs="Times New Roman"/>
                <w:b/>
                <w:color w:val="1F1F1F"/>
                <w:sz w:val="22"/>
                <w:szCs w:val="24"/>
              </w:rPr>
            </w:pPr>
            <w:r>
              <w:rPr>
                <w:rFonts w:eastAsia="Times New Roman" w:cs="Times New Roman"/>
                <w:b/>
                <w:bCs/>
                <w:color w:val="1F1F1F"/>
                <w:sz w:val="22"/>
                <w:szCs w:val="24"/>
              </w:rPr>
              <w:t>Wilayah</w:t>
            </w:r>
          </w:p>
        </w:tc>
        <w:tc>
          <w:tcPr>
            <w:tcW w:w="0" w:type="auto"/>
            <w:vAlign w:val="center"/>
          </w:tcPr>
          <w:p w14:paraId="76F9DEEB">
            <w:pPr>
              <w:spacing w:after="0" w:line="240" w:lineRule="auto"/>
              <w:jc w:val="center"/>
              <w:rPr>
                <w:rFonts w:eastAsia="Times New Roman" w:cs="Times New Roman"/>
                <w:b/>
                <w:bCs/>
                <w:color w:val="1F1F1F"/>
                <w:sz w:val="22"/>
                <w:szCs w:val="24"/>
                <w:lang w:val="en-US"/>
              </w:rPr>
            </w:pPr>
            <w:r>
              <w:rPr>
                <w:rFonts w:eastAsia="Times New Roman" w:cs="Times New Roman"/>
                <w:b/>
                <w:bCs/>
                <w:color w:val="1F1F1F"/>
                <w:sz w:val="22"/>
                <w:szCs w:val="24"/>
                <w:lang w:val="en-US"/>
              </w:rPr>
              <w:t>Pola Hujan</w:t>
            </w:r>
          </w:p>
        </w:tc>
      </w:tr>
      <w:tr w14:paraId="2A34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292DFED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w:t>
            </w:r>
          </w:p>
        </w:tc>
        <w:tc>
          <w:tcPr>
            <w:tcW w:w="0" w:type="auto"/>
            <w:vAlign w:val="center"/>
          </w:tcPr>
          <w:p w14:paraId="649663A2">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Bogor</w:t>
            </w:r>
          </w:p>
        </w:tc>
        <w:tc>
          <w:tcPr>
            <w:tcW w:w="0" w:type="auto"/>
            <w:vAlign w:val="center"/>
          </w:tcPr>
          <w:p w14:paraId="78791C6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-6.5538</w:t>
            </w:r>
          </w:p>
        </w:tc>
        <w:tc>
          <w:tcPr>
            <w:tcW w:w="0" w:type="auto"/>
            <w:vAlign w:val="center"/>
          </w:tcPr>
          <w:p w14:paraId="5943CAD3">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106.7440</w:t>
            </w:r>
          </w:p>
        </w:tc>
        <w:tc>
          <w:tcPr>
            <w:tcW w:w="0" w:type="auto"/>
            <w:vAlign w:val="center"/>
          </w:tcPr>
          <w:p w14:paraId="18C8E30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6DBA96B3">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Monsunal</w:t>
            </w:r>
          </w:p>
        </w:tc>
      </w:tr>
      <w:tr w14:paraId="3E5E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2A1A741">
            <w:pPr>
              <w:spacing w:after="0" w:line="240" w:lineRule="auto"/>
              <w:jc w:val="center"/>
              <w:rPr>
                <w:rFonts w:eastAsia="Times New Roman" w:cs="Times New Roman"/>
                <w:color w:val="1F1F1F"/>
                <w:sz w:val="22"/>
                <w:szCs w:val="24"/>
              </w:rPr>
            </w:pPr>
            <w:r>
              <w:rPr>
                <w:rFonts w:eastAsia="Times New Roman" w:cs="Times New Roman"/>
                <w:color w:val="1F1F1F"/>
                <w:sz w:val="22"/>
                <w:szCs w:val="24"/>
              </w:rPr>
              <w:t>2.</w:t>
            </w:r>
          </w:p>
        </w:tc>
        <w:tc>
          <w:tcPr>
            <w:tcW w:w="0" w:type="auto"/>
            <w:vAlign w:val="center"/>
          </w:tcPr>
          <w:p w14:paraId="7E9A297F">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Bandung</w:t>
            </w:r>
          </w:p>
        </w:tc>
        <w:tc>
          <w:tcPr>
            <w:tcW w:w="0" w:type="auto"/>
            <w:vAlign w:val="center"/>
          </w:tcPr>
          <w:p w14:paraId="7B36F8E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-6.8836</w:t>
            </w:r>
          </w:p>
        </w:tc>
        <w:tc>
          <w:tcPr>
            <w:tcW w:w="0" w:type="auto"/>
            <w:vAlign w:val="center"/>
          </w:tcPr>
          <w:p w14:paraId="06F6A071">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107.5973</w:t>
            </w:r>
          </w:p>
        </w:tc>
        <w:tc>
          <w:tcPr>
            <w:tcW w:w="0" w:type="auto"/>
            <w:vAlign w:val="center"/>
          </w:tcPr>
          <w:p w14:paraId="3E75B44A">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44925F49">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3A50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4514F9B6">
            <w:pPr>
              <w:spacing w:after="0" w:line="240" w:lineRule="auto"/>
              <w:jc w:val="center"/>
              <w:rPr>
                <w:rFonts w:eastAsia="Times New Roman" w:cs="Times New Roman"/>
                <w:color w:val="1F1F1F"/>
                <w:sz w:val="22"/>
                <w:szCs w:val="24"/>
              </w:rPr>
            </w:pPr>
            <w:r>
              <w:rPr>
                <w:rFonts w:eastAsia="Times New Roman" w:cs="Times New Roman"/>
                <w:color w:val="1F1F1F"/>
                <w:sz w:val="22"/>
                <w:szCs w:val="24"/>
              </w:rPr>
              <w:t>3.</w:t>
            </w:r>
          </w:p>
        </w:tc>
        <w:tc>
          <w:tcPr>
            <w:tcW w:w="0" w:type="auto"/>
            <w:vAlign w:val="center"/>
          </w:tcPr>
          <w:p w14:paraId="50BC97CE">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Bekasi</w:t>
            </w:r>
          </w:p>
        </w:tc>
        <w:tc>
          <w:tcPr>
            <w:tcW w:w="0" w:type="auto"/>
            <w:vAlign w:val="center"/>
          </w:tcPr>
          <w:p w14:paraId="6E1887C2">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-6.2383</w:t>
            </w:r>
          </w:p>
        </w:tc>
        <w:tc>
          <w:tcPr>
            <w:tcW w:w="0" w:type="auto"/>
            <w:vAlign w:val="center"/>
          </w:tcPr>
          <w:p w14:paraId="3E1D1A15">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106.9756</w:t>
            </w:r>
          </w:p>
        </w:tc>
        <w:tc>
          <w:tcPr>
            <w:tcW w:w="0" w:type="auto"/>
            <w:vAlign w:val="center"/>
          </w:tcPr>
          <w:p w14:paraId="7D7E742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773B559B">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567F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2EF43A1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4.</w:t>
            </w:r>
          </w:p>
        </w:tc>
        <w:tc>
          <w:tcPr>
            <w:tcW w:w="0" w:type="auto"/>
            <w:vAlign w:val="center"/>
          </w:tcPr>
          <w:p w14:paraId="6A64369A">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Cirebon</w:t>
            </w:r>
          </w:p>
        </w:tc>
        <w:tc>
          <w:tcPr>
            <w:tcW w:w="0" w:type="auto"/>
            <w:vAlign w:val="center"/>
          </w:tcPr>
          <w:p w14:paraId="218F9407">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-6.7561</w:t>
            </w:r>
          </w:p>
        </w:tc>
        <w:tc>
          <w:tcPr>
            <w:tcW w:w="0" w:type="auto"/>
            <w:vAlign w:val="center"/>
          </w:tcPr>
          <w:p w14:paraId="1C2EA17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108.5397</w:t>
            </w:r>
          </w:p>
        </w:tc>
        <w:tc>
          <w:tcPr>
            <w:tcW w:w="0" w:type="auto"/>
            <w:vAlign w:val="center"/>
          </w:tcPr>
          <w:p w14:paraId="43F532AA">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30A574D5">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2F6F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0176B9CD">
            <w:pPr>
              <w:spacing w:after="0" w:line="240" w:lineRule="auto"/>
              <w:jc w:val="center"/>
              <w:rPr>
                <w:rFonts w:eastAsia="Times New Roman" w:cs="Times New Roman"/>
                <w:color w:val="1F1F1F"/>
                <w:sz w:val="22"/>
                <w:szCs w:val="24"/>
              </w:rPr>
            </w:pPr>
            <w:r>
              <w:rPr>
                <w:rFonts w:eastAsia="Times New Roman" w:cs="Times New Roman"/>
                <w:color w:val="1F1F1F"/>
                <w:sz w:val="22"/>
                <w:szCs w:val="24"/>
              </w:rPr>
              <w:t>5.</w:t>
            </w:r>
          </w:p>
        </w:tc>
        <w:tc>
          <w:tcPr>
            <w:tcW w:w="0" w:type="auto"/>
            <w:vAlign w:val="center"/>
          </w:tcPr>
          <w:p w14:paraId="42C28FDD">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Pangandaran</w:t>
            </w:r>
          </w:p>
        </w:tc>
        <w:tc>
          <w:tcPr>
            <w:tcW w:w="0" w:type="auto"/>
            <w:vAlign w:val="center"/>
          </w:tcPr>
          <w:p w14:paraId="3D15F97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-7.6969</w:t>
            </w:r>
          </w:p>
        </w:tc>
        <w:tc>
          <w:tcPr>
            <w:tcW w:w="0" w:type="auto"/>
            <w:vAlign w:val="center"/>
          </w:tcPr>
          <w:p w14:paraId="0F0F0F1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108.6568</w:t>
            </w:r>
          </w:p>
        </w:tc>
        <w:tc>
          <w:tcPr>
            <w:tcW w:w="0" w:type="auto"/>
            <w:vAlign w:val="center"/>
          </w:tcPr>
          <w:p w14:paraId="4FC19654">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50B0F339">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0F4A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D7EC437">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w:t>
            </w:r>
          </w:p>
        </w:tc>
        <w:tc>
          <w:tcPr>
            <w:tcW w:w="0" w:type="auto"/>
            <w:vAlign w:val="center"/>
          </w:tcPr>
          <w:p w14:paraId="333A588F">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Cianjur</w:t>
            </w:r>
          </w:p>
        </w:tc>
        <w:tc>
          <w:tcPr>
            <w:tcW w:w="0" w:type="auto"/>
            <w:vAlign w:val="center"/>
          </w:tcPr>
          <w:p w14:paraId="6064330C">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-6.8200</w:t>
            </w:r>
          </w:p>
        </w:tc>
        <w:tc>
          <w:tcPr>
            <w:tcW w:w="0" w:type="auto"/>
            <w:vAlign w:val="center"/>
          </w:tcPr>
          <w:p w14:paraId="7F07500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107.1408</w:t>
            </w:r>
          </w:p>
        </w:tc>
        <w:tc>
          <w:tcPr>
            <w:tcW w:w="0" w:type="auto"/>
            <w:vAlign w:val="center"/>
          </w:tcPr>
          <w:p w14:paraId="5696731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64C90826">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61B2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8AD56CF">
            <w:pPr>
              <w:spacing w:after="0" w:line="240" w:lineRule="auto"/>
              <w:jc w:val="center"/>
              <w:rPr>
                <w:rFonts w:eastAsia="Times New Roman" w:cs="Times New Roman"/>
                <w:color w:val="1F1F1F"/>
                <w:sz w:val="22"/>
                <w:szCs w:val="24"/>
              </w:rPr>
            </w:pPr>
            <w:r>
              <w:rPr>
                <w:rFonts w:eastAsia="Times New Roman" w:cs="Times New Roman"/>
                <w:color w:val="1F1F1F"/>
                <w:sz w:val="22"/>
                <w:szCs w:val="24"/>
              </w:rPr>
              <w:t>7.</w:t>
            </w:r>
          </w:p>
        </w:tc>
        <w:tc>
          <w:tcPr>
            <w:tcW w:w="0" w:type="auto"/>
            <w:vAlign w:val="center"/>
          </w:tcPr>
          <w:p w14:paraId="6CE818EA">
            <w:pPr>
              <w:spacing w:after="0" w:line="240" w:lineRule="auto"/>
              <w:jc w:val="center"/>
              <w:rPr>
                <w:rFonts w:eastAsia="Times New Roman" w:cs="Times New Roman"/>
                <w:color w:val="1F1F1F"/>
                <w:sz w:val="22"/>
                <w:szCs w:val="24"/>
              </w:rPr>
            </w:pPr>
            <w:r>
              <w:rPr>
                <w:rFonts w:eastAsia="Times New Roman" w:cs="Times New Roman"/>
                <w:bCs/>
                <w:color w:val="1F1F1F"/>
                <w:sz w:val="22"/>
                <w:szCs w:val="24"/>
                <w:lang w:val="en-US"/>
              </w:rPr>
              <w:t>*</w:t>
            </w:r>
            <w:r>
              <w:rPr>
                <w:rFonts w:eastAsia="Times New Roman" w:cs="Times New Roman"/>
                <w:bCs/>
                <w:color w:val="1F1F1F"/>
                <w:sz w:val="22"/>
                <w:szCs w:val="24"/>
              </w:rPr>
              <w:t>Ciasem</w:t>
            </w:r>
          </w:p>
        </w:tc>
        <w:tc>
          <w:tcPr>
            <w:tcW w:w="0" w:type="auto"/>
            <w:vAlign w:val="center"/>
          </w:tcPr>
          <w:p w14:paraId="1F10C16B">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-6.3540</w:t>
            </w:r>
          </w:p>
        </w:tc>
        <w:tc>
          <w:tcPr>
            <w:tcW w:w="0" w:type="auto"/>
            <w:vAlign w:val="center"/>
          </w:tcPr>
          <w:p w14:paraId="60D8FBD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107.6626</w:t>
            </w:r>
          </w:p>
        </w:tc>
        <w:tc>
          <w:tcPr>
            <w:tcW w:w="0" w:type="auto"/>
            <w:vAlign w:val="center"/>
          </w:tcPr>
          <w:p w14:paraId="7F414183">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057B2E76">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530F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09766CF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8.</w:t>
            </w:r>
          </w:p>
        </w:tc>
        <w:tc>
          <w:tcPr>
            <w:tcW w:w="0" w:type="auto"/>
            <w:vAlign w:val="center"/>
          </w:tcPr>
          <w:p w14:paraId="1F3F2B41">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w:t>
            </w:r>
            <w:r>
              <w:rPr>
                <w:rFonts w:eastAsia="Times New Roman" w:cs="Times New Roman"/>
                <w:color w:val="1F1F1F"/>
                <w:sz w:val="22"/>
                <w:szCs w:val="24"/>
              </w:rPr>
              <w:t>Cibeureum</w:t>
            </w:r>
            <w:r>
              <w:rPr>
                <w:rFonts w:eastAsia="Times New Roman" w:cs="Times New Roman"/>
                <w:color w:val="1F1F1F"/>
                <w:sz w:val="22"/>
                <w:szCs w:val="24"/>
                <w:lang w:val="en-US"/>
              </w:rPr>
              <w:t xml:space="preserve"> (Bandung)</w:t>
            </w:r>
          </w:p>
        </w:tc>
        <w:tc>
          <w:tcPr>
            <w:tcW w:w="0" w:type="auto"/>
            <w:vAlign w:val="center"/>
          </w:tcPr>
          <w:p w14:paraId="556B2930">
            <w:pPr>
              <w:spacing w:after="0" w:line="240" w:lineRule="auto"/>
              <w:jc w:val="center"/>
              <w:rPr>
                <w:rFonts w:eastAsia="Times New Roman" w:cs="Times New Roman"/>
                <w:color w:val="1F1F1F"/>
                <w:sz w:val="22"/>
                <w:szCs w:val="24"/>
              </w:rPr>
            </w:pPr>
            <w:r>
              <w:rPr>
                <w:rFonts w:eastAsia="Times New Roman" w:cs="Times New Roman"/>
                <w:color w:val="1F1F1F"/>
                <w:sz w:val="22"/>
                <w:szCs w:val="24"/>
              </w:rPr>
              <w:t>-7.0394</w:t>
            </w:r>
          </w:p>
        </w:tc>
        <w:tc>
          <w:tcPr>
            <w:tcW w:w="0" w:type="auto"/>
            <w:vAlign w:val="center"/>
          </w:tcPr>
          <w:p w14:paraId="0B1808B5">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107.4959</w:t>
            </w:r>
          </w:p>
        </w:tc>
        <w:tc>
          <w:tcPr>
            <w:tcW w:w="0" w:type="auto"/>
            <w:vAlign w:val="center"/>
          </w:tcPr>
          <w:p w14:paraId="3412BB4E">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4DA877FA">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7913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15BE4BF5">
            <w:pPr>
              <w:spacing w:after="0" w:line="240" w:lineRule="auto"/>
              <w:jc w:val="center"/>
              <w:rPr>
                <w:rFonts w:eastAsia="Times New Roman" w:cs="Times New Roman"/>
                <w:color w:val="1F1F1F"/>
                <w:sz w:val="22"/>
                <w:szCs w:val="24"/>
              </w:rPr>
            </w:pPr>
            <w:r>
              <w:rPr>
                <w:rFonts w:eastAsia="Times New Roman" w:cs="Times New Roman"/>
                <w:color w:val="1F1F1F"/>
                <w:sz w:val="22"/>
                <w:szCs w:val="24"/>
              </w:rPr>
              <w:t>9.</w:t>
            </w:r>
          </w:p>
        </w:tc>
        <w:tc>
          <w:tcPr>
            <w:tcW w:w="0" w:type="auto"/>
            <w:vAlign w:val="center"/>
          </w:tcPr>
          <w:p w14:paraId="4074BE3C">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w:t>
            </w:r>
            <w:r>
              <w:rPr>
                <w:rFonts w:eastAsia="Times New Roman" w:cs="Times New Roman"/>
                <w:color w:val="1F1F1F"/>
                <w:sz w:val="22"/>
                <w:szCs w:val="24"/>
              </w:rPr>
              <w:t>Ciberes</w:t>
            </w:r>
          </w:p>
        </w:tc>
        <w:tc>
          <w:tcPr>
            <w:tcW w:w="0" w:type="auto"/>
            <w:vAlign w:val="center"/>
          </w:tcPr>
          <w:p w14:paraId="59B2E18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-6.3760</w:t>
            </w:r>
          </w:p>
        </w:tc>
        <w:tc>
          <w:tcPr>
            <w:tcW w:w="0" w:type="auto"/>
            <w:vAlign w:val="center"/>
          </w:tcPr>
          <w:p w14:paraId="3E83012A">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107.5830</w:t>
            </w:r>
          </w:p>
        </w:tc>
        <w:tc>
          <w:tcPr>
            <w:tcW w:w="0" w:type="auto"/>
            <w:vAlign w:val="center"/>
          </w:tcPr>
          <w:p w14:paraId="42D06B2B">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50AC3254">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10B2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7F46700A">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w:t>
            </w:r>
            <w:r>
              <w:rPr>
                <w:rFonts w:eastAsia="Times New Roman" w:cs="Times New Roman"/>
                <w:color w:val="1F1F1F"/>
                <w:sz w:val="22"/>
                <w:szCs w:val="24"/>
                <w:lang w:val="en-US"/>
              </w:rPr>
              <w:t>0</w:t>
            </w:r>
            <w:r>
              <w:rPr>
                <w:rFonts w:eastAsia="Times New Roman" w:cs="Times New Roman"/>
                <w:color w:val="1F1F1F"/>
                <w:sz w:val="22"/>
                <w:szCs w:val="24"/>
              </w:rPr>
              <w:t>.</w:t>
            </w:r>
          </w:p>
        </w:tc>
        <w:tc>
          <w:tcPr>
            <w:tcW w:w="0" w:type="auto"/>
            <w:vAlign w:val="center"/>
          </w:tcPr>
          <w:p w14:paraId="4C452558">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w:t>
            </w:r>
            <w:r>
              <w:rPr>
                <w:rFonts w:eastAsia="Times New Roman" w:cs="Times New Roman"/>
                <w:color w:val="1F1F1F"/>
                <w:sz w:val="22"/>
                <w:szCs w:val="24"/>
              </w:rPr>
              <w:t>Ciawi</w:t>
            </w:r>
          </w:p>
        </w:tc>
        <w:tc>
          <w:tcPr>
            <w:tcW w:w="0" w:type="auto"/>
            <w:vAlign w:val="center"/>
          </w:tcPr>
          <w:p w14:paraId="13B6889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-6.6623</w:t>
            </w:r>
          </w:p>
        </w:tc>
        <w:tc>
          <w:tcPr>
            <w:tcW w:w="0" w:type="auto"/>
            <w:vAlign w:val="center"/>
          </w:tcPr>
          <w:p w14:paraId="5CA31113">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106.8528</w:t>
            </w:r>
          </w:p>
        </w:tc>
        <w:tc>
          <w:tcPr>
            <w:tcW w:w="0" w:type="auto"/>
            <w:vAlign w:val="center"/>
          </w:tcPr>
          <w:p w14:paraId="76D2E848">
            <w:pPr>
              <w:spacing w:after="0" w:line="240" w:lineRule="auto"/>
              <w:jc w:val="center"/>
              <w:rPr>
                <w:rFonts w:eastAsia="Times New Roman" w:cs="Times New Roman"/>
                <w:color w:val="1F1F1F"/>
                <w:sz w:val="22"/>
                <w:szCs w:val="24"/>
              </w:rPr>
            </w:pPr>
            <w:r>
              <w:rPr>
                <w:rFonts w:eastAsia="Times New Roman" w:cs="Times New Roman"/>
                <w:color w:val="1F1F1F"/>
                <w:sz w:val="22"/>
                <w:szCs w:val="24"/>
              </w:rPr>
              <w:t>Jawa Barat</w:t>
            </w:r>
          </w:p>
        </w:tc>
        <w:tc>
          <w:tcPr>
            <w:tcW w:w="0" w:type="auto"/>
            <w:vAlign w:val="center"/>
          </w:tcPr>
          <w:p w14:paraId="1425FEF5">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1979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0ADC16D">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w:t>
            </w:r>
            <w:r>
              <w:rPr>
                <w:rFonts w:eastAsia="Times New Roman" w:cs="Times New Roman"/>
                <w:color w:val="1F1F1F"/>
                <w:sz w:val="22"/>
                <w:szCs w:val="24"/>
                <w:lang w:val="en-US"/>
              </w:rPr>
              <w:t>1</w:t>
            </w:r>
            <w:r>
              <w:rPr>
                <w:rFonts w:eastAsia="Times New Roman" w:cs="Times New Roman"/>
                <w:color w:val="1F1F1F"/>
                <w:sz w:val="22"/>
                <w:szCs w:val="24"/>
              </w:rPr>
              <w:t>.</w:t>
            </w:r>
          </w:p>
        </w:tc>
        <w:tc>
          <w:tcPr>
            <w:tcW w:w="0" w:type="auto"/>
            <w:vAlign w:val="center"/>
          </w:tcPr>
          <w:p w14:paraId="14E252E2">
            <w:pPr>
              <w:spacing w:after="0" w:line="240" w:lineRule="auto"/>
              <w:jc w:val="center"/>
              <w:rPr>
                <w:rFonts w:eastAsia="Times New Roman" w:cs="Times New Roman"/>
                <w:color w:val="1F1F1F"/>
                <w:sz w:val="22"/>
                <w:szCs w:val="24"/>
              </w:rPr>
            </w:pPr>
            <w:r>
              <w:rPr>
                <w:rFonts w:eastAsia="Times New Roman" w:cs="Times New Roman"/>
                <w:bCs/>
                <w:color w:val="1F1F1F"/>
                <w:sz w:val="22"/>
                <w:szCs w:val="24"/>
              </w:rPr>
              <w:t>Kupang</w:t>
            </w:r>
          </w:p>
        </w:tc>
        <w:tc>
          <w:tcPr>
            <w:tcW w:w="0" w:type="auto"/>
            <w:vAlign w:val="center"/>
          </w:tcPr>
          <w:p w14:paraId="49926B3D">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-10.1678</w:t>
            </w:r>
          </w:p>
        </w:tc>
        <w:tc>
          <w:tcPr>
            <w:tcW w:w="0" w:type="auto"/>
            <w:vAlign w:val="center"/>
          </w:tcPr>
          <w:p w14:paraId="1128D36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123.6704</w:t>
            </w:r>
          </w:p>
        </w:tc>
        <w:tc>
          <w:tcPr>
            <w:tcW w:w="0" w:type="auto"/>
            <w:vAlign w:val="center"/>
          </w:tcPr>
          <w:p w14:paraId="66432B3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Nusa Tenggara Timur</w:t>
            </w:r>
          </w:p>
        </w:tc>
        <w:tc>
          <w:tcPr>
            <w:tcW w:w="0" w:type="auto"/>
            <w:vAlign w:val="center"/>
          </w:tcPr>
          <w:p w14:paraId="39DE1FDF">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Monsunal</w:t>
            </w:r>
          </w:p>
        </w:tc>
      </w:tr>
      <w:tr w14:paraId="4E80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3300C77">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w:t>
            </w:r>
            <w:r>
              <w:rPr>
                <w:rFonts w:eastAsia="Times New Roman" w:cs="Times New Roman"/>
                <w:color w:val="1F1F1F"/>
                <w:sz w:val="22"/>
                <w:szCs w:val="24"/>
                <w:lang w:val="en-US"/>
              </w:rPr>
              <w:t>2</w:t>
            </w:r>
            <w:r>
              <w:rPr>
                <w:rFonts w:eastAsia="Times New Roman" w:cs="Times New Roman"/>
                <w:color w:val="1F1F1F"/>
                <w:sz w:val="22"/>
                <w:szCs w:val="24"/>
              </w:rPr>
              <w:t>.</w:t>
            </w:r>
          </w:p>
        </w:tc>
        <w:tc>
          <w:tcPr>
            <w:tcW w:w="0" w:type="auto"/>
            <w:vAlign w:val="center"/>
          </w:tcPr>
          <w:p w14:paraId="455B19FB">
            <w:pPr>
              <w:spacing w:after="0" w:line="240" w:lineRule="auto"/>
              <w:jc w:val="center"/>
              <w:rPr>
                <w:rFonts w:eastAsia="Times New Roman" w:cs="Times New Roman"/>
                <w:color w:val="1F1F1F"/>
                <w:sz w:val="22"/>
                <w:szCs w:val="24"/>
              </w:rPr>
            </w:pPr>
            <w:r>
              <w:rPr>
                <w:rFonts w:eastAsia="Times New Roman" w:cs="Times New Roman"/>
                <w:bCs/>
                <w:color w:val="1F1F1F"/>
                <w:sz w:val="22"/>
                <w:szCs w:val="24"/>
                <w:lang w:val="en-US"/>
              </w:rPr>
              <w:t>Padang</w:t>
            </w:r>
          </w:p>
        </w:tc>
        <w:tc>
          <w:tcPr>
            <w:tcW w:w="0" w:type="auto"/>
            <w:vAlign w:val="center"/>
          </w:tcPr>
          <w:p w14:paraId="53008979">
            <w:pPr>
              <w:spacing w:after="0" w:line="240" w:lineRule="auto"/>
              <w:jc w:val="center"/>
              <w:rPr>
                <w:rFonts w:eastAsia="Times New Roman" w:cs="Times New Roman"/>
                <w:color w:val="1F1F1F"/>
                <w:sz w:val="22"/>
                <w:szCs w:val="24"/>
              </w:rPr>
            </w:pPr>
            <w:r>
              <w:rPr>
                <w:rFonts w:eastAsia="Times New Roman" w:cs="Times New Roman"/>
                <w:color w:val="1F1F1F"/>
                <w:sz w:val="22"/>
                <w:szCs w:val="24"/>
              </w:rPr>
              <w:t>-0.5452</w:t>
            </w:r>
          </w:p>
        </w:tc>
        <w:tc>
          <w:tcPr>
            <w:tcW w:w="0" w:type="auto"/>
            <w:vAlign w:val="center"/>
          </w:tcPr>
          <w:p w14:paraId="56A6D83F">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100.2977</w:t>
            </w:r>
          </w:p>
        </w:tc>
        <w:tc>
          <w:tcPr>
            <w:tcW w:w="0" w:type="auto"/>
            <w:vAlign w:val="center"/>
          </w:tcPr>
          <w:p w14:paraId="59C2DB4D">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Sumatera Barat</w:t>
            </w:r>
          </w:p>
        </w:tc>
        <w:tc>
          <w:tcPr>
            <w:tcW w:w="0" w:type="auto"/>
            <w:vAlign w:val="center"/>
          </w:tcPr>
          <w:p w14:paraId="236400D3">
            <w:pPr>
              <w:spacing w:after="0" w:line="240" w:lineRule="auto"/>
              <w:jc w:val="center"/>
              <w:rPr>
                <w:rFonts w:eastAsia="Times New Roman" w:cs="Times New Roman"/>
                <w:color w:val="1F1F1F"/>
                <w:sz w:val="22"/>
                <w:szCs w:val="24"/>
              </w:rPr>
            </w:pPr>
            <w:r>
              <w:rPr>
                <w:sz w:val="22"/>
                <w:lang w:val="en-US"/>
              </w:rPr>
              <w:t>Ekuatorial</w:t>
            </w:r>
          </w:p>
        </w:tc>
      </w:tr>
      <w:tr w14:paraId="6AF1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0311BBE">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13.</w:t>
            </w:r>
          </w:p>
        </w:tc>
        <w:tc>
          <w:tcPr>
            <w:tcW w:w="0" w:type="auto"/>
            <w:vAlign w:val="center"/>
          </w:tcPr>
          <w:p w14:paraId="67020F94">
            <w:pPr>
              <w:spacing w:after="0" w:line="240" w:lineRule="auto"/>
              <w:jc w:val="center"/>
              <w:rPr>
                <w:rFonts w:eastAsia="Times New Roman" w:cs="Times New Roman"/>
                <w:bCs/>
                <w:color w:val="1F1F1F"/>
                <w:sz w:val="22"/>
                <w:szCs w:val="24"/>
                <w:lang w:val="en-US"/>
              </w:rPr>
            </w:pPr>
            <w:r>
              <w:rPr>
                <w:rFonts w:eastAsia="Times New Roman" w:cs="Times New Roman"/>
                <w:bCs/>
                <w:color w:val="1F1F1F"/>
                <w:sz w:val="22"/>
                <w:szCs w:val="24"/>
                <w:lang w:val="en-US"/>
              </w:rPr>
              <w:t>Ambon</w:t>
            </w:r>
          </w:p>
        </w:tc>
        <w:tc>
          <w:tcPr>
            <w:tcW w:w="0" w:type="auto"/>
            <w:vAlign w:val="center"/>
          </w:tcPr>
          <w:p w14:paraId="551C8C83">
            <w:pPr>
              <w:spacing w:after="0" w:line="240" w:lineRule="auto"/>
              <w:jc w:val="center"/>
              <w:rPr>
                <w:rFonts w:eastAsia="Times New Roman" w:cs="Times New Roman"/>
                <w:color w:val="1F1F1F"/>
                <w:sz w:val="22"/>
                <w:szCs w:val="24"/>
              </w:rPr>
            </w:pPr>
            <w:r>
              <w:rPr>
                <w:rFonts w:eastAsia="Times New Roman" w:cs="Times New Roman"/>
                <w:color w:val="1F1F1F"/>
                <w:sz w:val="22"/>
                <w:szCs w:val="24"/>
                <w:lang w:val="en-US"/>
              </w:rPr>
              <w:t>-</w:t>
            </w:r>
            <w:r>
              <w:rPr>
                <w:rFonts w:eastAsia="Times New Roman" w:cs="Times New Roman"/>
                <w:color w:val="1F1F1F"/>
                <w:sz w:val="22"/>
                <w:szCs w:val="24"/>
              </w:rPr>
              <w:t>3.6559</w:t>
            </w:r>
          </w:p>
        </w:tc>
        <w:tc>
          <w:tcPr>
            <w:tcW w:w="0" w:type="auto"/>
            <w:vAlign w:val="center"/>
          </w:tcPr>
          <w:p w14:paraId="43475F12">
            <w:pPr>
              <w:spacing w:after="0" w:line="240" w:lineRule="auto"/>
              <w:jc w:val="center"/>
              <w:rPr>
                <w:rFonts w:eastAsia="Times New Roman" w:cs="Times New Roman"/>
                <w:color w:val="1F1F1F"/>
                <w:sz w:val="22"/>
                <w:szCs w:val="24"/>
              </w:rPr>
            </w:pPr>
            <w:r>
              <w:rPr>
                <w:rFonts w:eastAsia="Times New Roman" w:cs="Times New Roman"/>
                <w:color w:val="1F1F1F"/>
                <w:sz w:val="22"/>
                <w:szCs w:val="24"/>
              </w:rPr>
              <w:t>128.1895</w:t>
            </w:r>
          </w:p>
        </w:tc>
        <w:tc>
          <w:tcPr>
            <w:tcW w:w="0" w:type="auto"/>
            <w:vAlign w:val="center"/>
          </w:tcPr>
          <w:p w14:paraId="24171B72">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Maluku</w:t>
            </w:r>
          </w:p>
        </w:tc>
        <w:tc>
          <w:tcPr>
            <w:tcW w:w="0" w:type="auto"/>
            <w:vAlign w:val="center"/>
          </w:tcPr>
          <w:p w14:paraId="25849917">
            <w:pPr>
              <w:spacing w:after="0" w:line="240" w:lineRule="auto"/>
              <w:jc w:val="center"/>
              <w:rPr>
                <w:rFonts w:eastAsia="Times New Roman" w:cs="Times New Roman"/>
                <w:color w:val="1F1F1F"/>
                <w:sz w:val="22"/>
                <w:szCs w:val="24"/>
                <w:lang w:val="en-US"/>
              </w:rPr>
            </w:pPr>
            <w:r>
              <w:rPr>
                <w:rFonts w:eastAsia="Times New Roman" w:cs="Times New Roman"/>
                <w:color w:val="1F1F1F"/>
                <w:sz w:val="22"/>
                <w:szCs w:val="24"/>
                <w:lang w:val="en-US"/>
              </w:rPr>
              <w:t>Lokal</w:t>
            </w:r>
          </w:p>
        </w:tc>
      </w:tr>
    </w:tbl>
    <w:p w14:paraId="5A95C124">
      <w:pPr>
        <w:spacing w:after="0"/>
        <w:rPr>
          <w:lang w:val="en-US"/>
        </w:rPr>
      </w:pPr>
      <w:r>
        <w:rPr>
          <w:lang w:val="en-US"/>
        </w:rPr>
        <w:t>*Data curah hujan dari BMKG.</w:t>
      </w:r>
    </w:p>
    <w:p w14:paraId="3E1F565F">
      <w:pPr>
        <w:keepNext/>
        <w:spacing w:after="0"/>
        <w:jc w:val="center"/>
      </w:pPr>
      <w:r>
        <w:drawing>
          <wp:inline distT="0" distB="0" distL="0" distR="0">
            <wp:extent cx="4871085" cy="3764280"/>
            <wp:effectExtent l="0" t="0" r="571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884578" cy="3774362"/>
                    </a:xfrm>
                    <a:prstGeom prst="rect">
                      <a:avLst/>
                    </a:prstGeom>
                    <a:noFill/>
                    <a:ln>
                      <a:noFill/>
                    </a:ln>
                  </pic:spPr>
                </pic:pic>
              </a:graphicData>
            </a:graphic>
          </wp:inline>
        </w:drawing>
      </w:r>
    </w:p>
    <w:p w14:paraId="5341619D">
      <w:pPr>
        <w:pStyle w:val="11"/>
        <w:keepNext/>
        <w:jc w:val="center"/>
        <w:rPr>
          <w:b/>
          <w:i w:val="0"/>
          <w:color w:val="auto"/>
          <w:sz w:val="24"/>
        </w:rPr>
      </w:pPr>
      <w:bookmarkStart w:id="48" w:name="_Toc236077397"/>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rPr>
        <w:t xml:space="preserve"> Peta Lokasi Wilayah Sumber (Jawa Barat</w:t>
      </w:r>
      <w:r>
        <w:rPr>
          <w:b/>
          <w:i w:val="0"/>
          <w:color w:val="auto"/>
          <w:sz w:val="24"/>
          <w:lang w:val="en-US"/>
        </w:rPr>
        <w:t xml:space="preserve"> (Monsunal)</w:t>
      </w:r>
      <w:r>
        <w:rPr>
          <w:b/>
          <w:i w:val="0"/>
          <w:color w:val="auto"/>
          <w:sz w:val="24"/>
        </w:rPr>
        <w:t>)</w:t>
      </w:r>
      <w:bookmarkEnd w:id="48"/>
    </w:p>
    <w:p w14:paraId="0E4A9B7B">
      <w:pPr>
        <w:keepNext/>
        <w:spacing w:after="0"/>
        <w:jc w:val="center"/>
      </w:pPr>
      <w:r>
        <w:rPr>
          <w:lang w:val="en-US"/>
        </w:rPr>
        <w:drawing>
          <wp:inline distT="0" distB="0" distL="0" distR="0">
            <wp:extent cx="4890770" cy="3779520"/>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98186" cy="3784879"/>
                    </a:xfrm>
                    <a:prstGeom prst="rect">
                      <a:avLst/>
                    </a:prstGeom>
                  </pic:spPr>
                </pic:pic>
              </a:graphicData>
            </a:graphic>
          </wp:inline>
        </w:drawing>
      </w:r>
    </w:p>
    <w:p w14:paraId="5F3B702F">
      <w:pPr>
        <w:pStyle w:val="11"/>
        <w:keepNext/>
        <w:jc w:val="center"/>
        <w:rPr>
          <w:b/>
          <w:i w:val="0"/>
          <w:color w:val="auto"/>
          <w:sz w:val="24"/>
        </w:rPr>
      </w:pPr>
      <w:bookmarkStart w:id="49" w:name="_Toc236077398"/>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3</w:t>
      </w:r>
      <w:r>
        <w:rPr>
          <w:b/>
          <w:i w:val="0"/>
          <w:color w:val="auto"/>
          <w:sz w:val="24"/>
        </w:rPr>
        <w:fldChar w:fldCharType="end"/>
      </w:r>
      <w:r>
        <w:rPr>
          <w:b/>
          <w:i w:val="0"/>
          <w:color w:val="auto"/>
          <w:sz w:val="24"/>
        </w:rPr>
        <w:t xml:space="preserve"> Peta Lokasi Wilayah Target (Padang</w:t>
      </w:r>
      <w:r>
        <w:rPr>
          <w:b/>
          <w:i w:val="0"/>
          <w:color w:val="auto"/>
          <w:sz w:val="24"/>
          <w:lang w:val="en-US"/>
        </w:rPr>
        <w:t xml:space="preserve"> (</w:t>
      </w:r>
      <w:r>
        <w:rPr>
          <w:b/>
          <w:i w:val="0"/>
          <w:color w:val="auto"/>
          <w:sz w:val="24"/>
        </w:rPr>
        <w:t>Ekuatorial</w:t>
      </w:r>
      <w:r>
        <w:rPr>
          <w:b/>
          <w:i w:val="0"/>
          <w:color w:val="auto"/>
          <w:sz w:val="24"/>
          <w:lang w:val="en-US"/>
        </w:rPr>
        <w:t>)</w:t>
      </w:r>
      <w:r>
        <w:rPr>
          <w:b/>
          <w:i w:val="0"/>
          <w:color w:val="auto"/>
          <w:sz w:val="24"/>
        </w:rPr>
        <w:t>)</w:t>
      </w:r>
      <w:bookmarkEnd w:id="49"/>
    </w:p>
    <w:p w14:paraId="064BA540">
      <w:pPr>
        <w:keepNext/>
        <w:spacing w:after="0"/>
        <w:jc w:val="center"/>
      </w:pPr>
      <w:r>
        <w:rPr>
          <w:lang w:val="en-US"/>
        </w:rPr>
        <w:drawing>
          <wp:inline distT="0" distB="0" distL="0" distR="0">
            <wp:extent cx="4989830" cy="385572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99183" cy="3862918"/>
                    </a:xfrm>
                    <a:prstGeom prst="rect">
                      <a:avLst/>
                    </a:prstGeom>
                  </pic:spPr>
                </pic:pic>
              </a:graphicData>
            </a:graphic>
          </wp:inline>
        </w:drawing>
      </w:r>
    </w:p>
    <w:p w14:paraId="1F0F4A7D">
      <w:pPr>
        <w:pStyle w:val="11"/>
        <w:keepNext/>
        <w:jc w:val="center"/>
        <w:rPr>
          <w:b/>
          <w:i w:val="0"/>
          <w:color w:val="auto"/>
          <w:sz w:val="24"/>
        </w:rPr>
      </w:pPr>
      <w:bookmarkStart w:id="50" w:name="_Toc236077399"/>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4</w:t>
      </w:r>
      <w:r>
        <w:rPr>
          <w:b/>
          <w:i w:val="0"/>
          <w:color w:val="auto"/>
          <w:sz w:val="24"/>
        </w:rPr>
        <w:fldChar w:fldCharType="end"/>
      </w:r>
      <w:r>
        <w:rPr>
          <w:b/>
          <w:i w:val="0"/>
          <w:color w:val="auto"/>
          <w:sz w:val="24"/>
        </w:rPr>
        <w:t xml:space="preserve"> Peta Lokasi Wilayah Target (Kupang (Monsunal))</w:t>
      </w:r>
      <w:bookmarkEnd w:id="50"/>
    </w:p>
    <w:p w14:paraId="28A966C4">
      <w:pPr>
        <w:keepNext/>
        <w:spacing w:after="0"/>
      </w:pPr>
      <w:r>
        <w:rPr>
          <w:lang w:val="en-US"/>
        </w:rPr>
        <w:drawing>
          <wp:inline distT="0" distB="0" distL="0" distR="0">
            <wp:extent cx="5039995" cy="3894455"/>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39995" cy="3894455"/>
                    </a:xfrm>
                    <a:prstGeom prst="rect">
                      <a:avLst/>
                    </a:prstGeom>
                  </pic:spPr>
                </pic:pic>
              </a:graphicData>
            </a:graphic>
          </wp:inline>
        </w:drawing>
      </w:r>
    </w:p>
    <w:p w14:paraId="05D84061">
      <w:pPr>
        <w:pStyle w:val="11"/>
        <w:keepNext/>
        <w:jc w:val="center"/>
        <w:rPr>
          <w:b/>
          <w:i w:val="0"/>
          <w:color w:val="auto"/>
          <w:sz w:val="24"/>
        </w:rPr>
      </w:pPr>
      <w:bookmarkStart w:id="51" w:name="_Toc236077400"/>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5</w:t>
      </w:r>
      <w:r>
        <w:rPr>
          <w:b/>
          <w:i w:val="0"/>
          <w:color w:val="auto"/>
          <w:sz w:val="24"/>
        </w:rPr>
        <w:fldChar w:fldCharType="end"/>
      </w:r>
      <w:r>
        <w:rPr>
          <w:b/>
          <w:i w:val="0"/>
          <w:color w:val="auto"/>
          <w:sz w:val="24"/>
        </w:rPr>
        <w:t xml:space="preserve"> Peta Lokasi Wilayah Target (Ambon (Lokal))</w:t>
      </w:r>
      <w:bookmarkEnd w:id="51"/>
    </w:p>
    <w:p w14:paraId="542A6E2D">
      <w:pPr>
        <w:pStyle w:val="4"/>
      </w:pPr>
      <w:bookmarkStart w:id="52" w:name="_Toc236076739"/>
      <w:r>
        <w:t>3.2.3 Sumber Data</w:t>
      </w:r>
      <w:bookmarkEnd w:id="52"/>
    </w:p>
    <w:p w14:paraId="7AD1A33D">
      <w:pPr>
        <w:spacing w:after="0"/>
        <w:ind w:firstLine="720"/>
      </w:pPr>
      <w:r>
        <w:t xml:space="preserve">Periode data yang digunakan mencakup rentang waktu 35 tahun, mulai dari 1 Januari 1990 </w:t>
      </w:r>
      <w:r>
        <w:rPr>
          <w:lang w:val="en-US"/>
        </w:rPr>
        <w:t xml:space="preserve">- 31 Desember </w:t>
      </w:r>
      <w:r>
        <w:t>2025.</w:t>
      </w:r>
    </w:p>
    <w:p w14:paraId="577054C5">
      <w:pPr>
        <w:pStyle w:val="33"/>
        <w:numPr>
          <w:ilvl w:val="0"/>
          <w:numId w:val="20"/>
        </w:numPr>
        <w:spacing w:after="0"/>
        <w:rPr>
          <w:b/>
          <w:lang w:val="en-US"/>
        </w:rPr>
      </w:pPr>
      <w:r>
        <w:rPr>
          <w:b/>
          <w:lang w:val="en-US"/>
        </w:rPr>
        <w:t xml:space="preserve">Data Curah Hujan </w:t>
      </w:r>
    </w:p>
    <w:p w14:paraId="0B70DBEB">
      <w:pPr>
        <w:spacing w:after="0"/>
        <w:ind w:left="360" w:firstLine="633"/>
        <w:rPr>
          <w:lang w:val="en-US"/>
        </w:rPr>
      </w:pPr>
      <w:r>
        <w:rPr>
          <w:lang w:val="en-US"/>
        </w:rPr>
        <w:t xml:space="preserve">Data curah hujan BMKG diperoleh dari Direktorat Data dan Komputasi (DDK), BMKG Pusat. Data ini sebagai sumber acuan utama curah hujan. </w:t>
      </w:r>
    </w:p>
    <w:p w14:paraId="03B16B64">
      <w:pPr>
        <w:pStyle w:val="33"/>
        <w:numPr>
          <w:ilvl w:val="0"/>
          <w:numId w:val="20"/>
        </w:numPr>
        <w:spacing w:after="0"/>
        <w:rPr>
          <w:b/>
        </w:rPr>
      </w:pPr>
      <w:r>
        <w:rPr>
          <w:b/>
        </w:rPr>
        <w:t>Data Reanalisis ERA5</w:t>
      </w:r>
    </w:p>
    <w:p w14:paraId="48718477">
      <w:pPr>
        <w:spacing w:after="0"/>
        <w:ind w:left="360" w:firstLine="633"/>
        <w:rPr>
          <w:color w:val="FF0000"/>
          <w:lang w:val="en-US"/>
        </w:rPr>
      </w:pPr>
      <w:r>
        <w:t xml:space="preserve">Data meteorologi diperoleh dari Copernicus Climate Data Store (CDS) menggunakan dataset ERA5-Land. Dataset ini dipilih karena memiliki resolusi spasial yang tinggi, yaitu </w:t>
      </w:r>
      <m:oMath>
        <m:sSup>
          <m:sSupPr>
            <m:ctrlPr>
              <w:rPr>
                <w:rFonts w:ascii="Cambria Math" w:hAnsi="Cambria Math"/>
                <w:i/>
              </w:rPr>
            </m:ctrlPr>
          </m:sSupPr>
          <m:e>
            <m:r>
              <m:rPr/>
              <w:rPr>
                <w:rFonts w:ascii="Cambria Math" w:hAnsi="Cambria Math"/>
              </w:rPr>
              <m:t>0.1</m:t>
            </m: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sSup>
          <m:sSupPr>
            <m:ctrlPr>
              <w:rPr>
                <w:rFonts w:ascii="Cambria Math" w:hAnsi="Cambria Math"/>
                <w:i/>
              </w:rPr>
            </m:ctrlPr>
          </m:sSupPr>
          <m:e>
            <m:r>
              <m:rPr/>
              <w:rPr>
                <w:rFonts w:ascii="Cambria Math" w:hAnsi="Cambria Math"/>
              </w:rPr>
              <m:t>0.1</m:t>
            </m:r>
            <m:ctrlPr>
              <w:rPr>
                <w:rFonts w:ascii="Cambria Math" w:hAnsi="Cambria Math"/>
                <w:i/>
              </w:rPr>
            </m:ctrlPr>
          </m:e>
          <m:sup>
            <m:r>
              <m:rPr/>
              <w:rPr>
                <w:rFonts w:ascii="Cambria Math" w:hAnsi="Cambria Math"/>
              </w:rPr>
              <m:t>°</m:t>
            </m:r>
            <m:ctrlPr>
              <w:rPr>
                <w:rFonts w:ascii="Cambria Math" w:hAnsi="Cambria Math"/>
                <w:i/>
              </w:rPr>
            </m:ctrlPr>
          </m:sup>
        </m:sSup>
      </m:oMath>
      <w:r>
        <w:t xml:space="preserve"> (sekitar 9 km</w:t>
      </w:r>
      <w:r>
        <w:rPr>
          <w:lang w:val="en-US"/>
        </w:rPr>
        <w:t>)</w:t>
      </w:r>
      <w:r>
        <w:t>. Variabel</w:t>
      </w:r>
      <w:r>
        <w:rPr>
          <w:lang w:val="en-US"/>
        </w:rPr>
        <w:t xml:space="preserve">/parameter </w:t>
      </w:r>
      <w:r>
        <w:t>yang digunakan dirincikan pada Tabel 3.</w:t>
      </w:r>
      <w:r>
        <w:rPr>
          <w:lang w:val="en-US"/>
        </w:rPr>
        <w:t xml:space="preserve"> 4</w:t>
      </w:r>
      <w:r>
        <w:t>.</w:t>
      </w:r>
      <w:r>
        <w:rPr>
          <w:lang w:val="en-US"/>
        </w:rPr>
        <w:t xml:space="preserve"> Data ERA5-Land ini bisa diunduh melalui tautan berikut: </w:t>
      </w:r>
      <w:r>
        <w:fldChar w:fldCharType="begin"/>
      </w:r>
      <w:r>
        <w:instrText xml:space="preserve"> HYPERLINK "https://cds.climate.copernicus.eu/datasets/reanalysis-era5-land?tab=download" </w:instrText>
      </w:r>
      <w:r>
        <w:fldChar w:fldCharType="separate"/>
      </w:r>
      <w:r>
        <w:rPr>
          <w:rStyle w:val="22"/>
          <w:color w:val="auto"/>
          <w:u w:val="none"/>
        </w:rPr>
        <w:t>https://cds.climate.copernicus.eu/datasets/reanalysis-era5-land?tab=download</w:t>
      </w:r>
      <w:r>
        <w:rPr>
          <w:rStyle w:val="22"/>
          <w:color w:val="auto"/>
          <w:u w:val="none"/>
        </w:rPr>
        <w:fldChar w:fldCharType="end"/>
      </w:r>
      <w:r>
        <w:rPr>
          <w:lang w:val="en-US"/>
        </w:rPr>
        <w:t xml:space="preserve">. </w:t>
      </w:r>
    </w:p>
    <w:p w14:paraId="45F3985B">
      <w:pPr>
        <w:pStyle w:val="11"/>
        <w:keepNext/>
        <w:jc w:val="center"/>
        <w:rPr>
          <w:b/>
          <w:i w:val="0"/>
          <w:color w:val="auto"/>
          <w:sz w:val="24"/>
        </w:rPr>
      </w:pPr>
      <w:bookmarkStart w:id="53" w:name="_Toc235035444"/>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4</w:t>
      </w:r>
      <w:r>
        <w:rPr>
          <w:b/>
          <w:i w:val="0"/>
          <w:color w:val="auto"/>
          <w:sz w:val="24"/>
        </w:rPr>
        <w:fldChar w:fldCharType="end"/>
      </w:r>
      <w:r>
        <w:rPr>
          <w:b/>
          <w:i w:val="0"/>
          <w:color w:val="auto"/>
          <w:sz w:val="24"/>
        </w:rPr>
        <w:t xml:space="preserve"> Variabel Atmosfer ERA5-Land</w:t>
      </w:r>
      <w:bookmarkEnd w:id="53"/>
    </w:p>
    <w:tbl>
      <w:tblPr>
        <w:tblStyle w:val="25"/>
        <w:tblW w:w="7512"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710"/>
        <w:gridCol w:w="763"/>
        <w:gridCol w:w="1150"/>
        <w:gridCol w:w="1889"/>
        <w:gridCol w:w="1430"/>
      </w:tblGrid>
      <w:tr w14:paraId="437D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70" w:type="dxa"/>
            <w:vAlign w:val="center"/>
          </w:tcPr>
          <w:p w14:paraId="2D28ADB5">
            <w:pPr>
              <w:spacing w:after="0" w:line="240" w:lineRule="auto"/>
              <w:jc w:val="center"/>
              <w:rPr>
                <w:rFonts w:eastAsia="Times New Roman" w:cs="Times New Roman"/>
                <w:b/>
                <w:bCs/>
                <w:color w:val="1F1F1F"/>
                <w:szCs w:val="24"/>
                <w:lang w:val="en-US"/>
              </w:rPr>
            </w:pPr>
            <w:r>
              <w:rPr>
                <w:rFonts w:eastAsia="Times New Roman" w:cs="Times New Roman"/>
                <w:b/>
                <w:bCs/>
                <w:color w:val="1F1F1F"/>
                <w:szCs w:val="24"/>
                <w:lang w:val="en-US"/>
              </w:rPr>
              <w:t>No.</w:t>
            </w:r>
          </w:p>
        </w:tc>
        <w:tc>
          <w:tcPr>
            <w:tcW w:w="1710" w:type="dxa"/>
            <w:vAlign w:val="center"/>
          </w:tcPr>
          <w:p w14:paraId="0C9CB9A5">
            <w:pPr>
              <w:spacing w:after="0" w:line="240" w:lineRule="auto"/>
              <w:jc w:val="center"/>
              <w:rPr>
                <w:rFonts w:eastAsia="Times New Roman" w:cs="Times New Roman"/>
                <w:color w:val="1F1F1F"/>
                <w:szCs w:val="24"/>
              </w:rPr>
            </w:pPr>
            <w:r>
              <w:rPr>
                <w:rFonts w:eastAsia="Times New Roman" w:cs="Times New Roman"/>
                <w:b/>
                <w:bCs/>
                <w:color w:val="1F1F1F"/>
                <w:szCs w:val="24"/>
              </w:rPr>
              <w:t>Variabel</w:t>
            </w:r>
          </w:p>
        </w:tc>
        <w:tc>
          <w:tcPr>
            <w:tcW w:w="763" w:type="dxa"/>
            <w:vAlign w:val="center"/>
          </w:tcPr>
          <w:p w14:paraId="738AADF4">
            <w:pPr>
              <w:spacing w:after="0" w:line="240" w:lineRule="auto"/>
              <w:jc w:val="center"/>
              <w:rPr>
                <w:rFonts w:eastAsia="Times New Roman" w:cs="Times New Roman"/>
                <w:color w:val="1F1F1F"/>
                <w:szCs w:val="24"/>
              </w:rPr>
            </w:pPr>
            <w:r>
              <w:rPr>
                <w:rFonts w:eastAsia="Times New Roman" w:cs="Times New Roman"/>
                <w:b/>
                <w:bCs/>
                <w:color w:val="1F1F1F"/>
                <w:szCs w:val="24"/>
              </w:rPr>
              <w:t>Kode</w:t>
            </w:r>
          </w:p>
        </w:tc>
        <w:tc>
          <w:tcPr>
            <w:tcW w:w="1150" w:type="dxa"/>
            <w:vAlign w:val="center"/>
          </w:tcPr>
          <w:p w14:paraId="2A4060A1">
            <w:pPr>
              <w:spacing w:after="0" w:line="240" w:lineRule="auto"/>
              <w:jc w:val="center"/>
              <w:rPr>
                <w:rFonts w:eastAsia="Times New Roman" w:cs="Times New Roman"/>
                <w:color w:val="1F1F1F"/>
                <w:szCs w:val="24"/>
              </w:rPr>
            </w:pPr>
            <w:r>
              <w:rPr>
                <w:rFonts w:eastAsia="Times New Roman" w:cs="Times New Roman"/>
                <w:b/>
                <w:bCs/>
                <w:color w:val="1F1F1F"/>
                <w:szCs w:val="24"/>
              </w:rPr>
              <w:t>Satuan Konversi</w:t>
            </w:r>
          </w:p>
        </w:tc>
        <w:tc>
          <w:tcPr>
            <w:tcW w:w="1889" w:type="dxa"/>
            <w:vAlign w:val="center"/>
          </w:tcPr>
          <w:p w14:paraId="02C7C50D">
            <w:pPr>
              <w:spacing w:after="0" w:line="240" w:lineRule="auto"/>
              <w:jc w:val="center"/>
              <w:rPr>
                <w:rFonts w:eastAsia="Times New Roman" w:cs="Times New Roman"/>
                <w:color w:val="1F1F1F"/>
                <w:szCs w:val="24"/>
              </w:rPr>
            </w:pPr>
            <w:r>
              <w:rPr>
                <w:rFonts w:eastAsia="Times New Roman" w:cs="Times New Roman"/>
                <w:b/>
                <w:bCs/>
                <w:color w:val="1F1F1F"/>
                <w:szCs w:val="24"/>
              </w:rPr>
              <w:t>Metode Agregasi</w:t>
            </w:r>
          </w:p>
        </w:tc>
        <w:tc>
          <w:tcPr>
            <w:tcW w:w="1430" w:type="dxa"/>
            <w:vAlign w:val="center"/>
          </w:tcPr>
          <w:p w14:paraId="44DF3EEB">
            <w:pPr>
              <w:spacing w:after="0" w:line="240" w:lineRule="auto"/>
              <w:jc w:val="center"/>
              <w:rPr>
                <w:rFonts w:eastAsia="Times New Roman" w:cs="Times New Roman"/>
                <w:color w:val="1F1F1F"/>
                <w:szCs w:val="24"/>
              </w:rPr>
            </w:pPr>
            <w:r>
              <w:rPr>
                <w:rFonts w:eastAsia="Times New Roman" w:cs="Times New Roman"/>
                <w:b/>
                <w:bCs/>
                <w:color w:val="1F1F1F"/>
                <w:szCs w:val="24"/>
              </w:rPr>
              <w:t>Keterangan</w:t>
            </w:r>
          </w:p>
        </w:tc>
      </w:tr>
      <w:tr w14:paraId="59FD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Align w:val="center"/>
          </w:tcPr>
          <w:p w14:paraId="41393CA9">
            <w:pPr>
              <w:spacing w:after="0" w:line="240" w:lineRule="auto"/>
              <w:ind w:right="-26"/>
              <w:jc w:val="center"/>
              <w:rPr>
                <w:rFonts w:eastAsia="Times New Roman" w:cs="Times New Roman"/>
                <w:iCs/>
                <w:color w:val="1F1F1F"/>
                <w:szCs w:val="24"/>
                <w:lang w:val="en-US"/>
              </w:rPr>
            </w:pPr>
            <w:r>
              <w:rPr>
                <w:rFonts w:eastAsia="Times New Roman" w:cs="Times New Roman"/>
                <w:iCs/>
                <w:color w:val="1F1F1F"/>
                <w:szCs w:val="24"/>
                <w:lang w:val="en-US"/>
              </w:rPr>
              <w:t>1.</w:t>
            </w:r>
          </w:p>
        </w:tc>
        <w:tc>
          <w:tcPr>
            <w:tcW w:w="1710" w:type="dxa"/>
            <w:vAlign w:val="center"/>
          </w:tcPr>
          <w:p w14:paraId="4BD8E4C7">
            <w:pPr>
              <w:spacing w:after="0" w:line="240" w:lineRule="auto"/>
              <w:jc w:val="center"/>
              <w:rPr>
                <w:rFonts w:eastAsia="Times New Roman" w:cs="Times New Roman"/>
                <w:color w:val="1F1F1F"/>
                <w:szCs w:val="24"/>
              </w:rPr>
            </w:pPr>
            <w:r>
              <w:rPr>
                <w:rFonts w:eastAsia="Times New Roman" w:cs="Times New Roman"/>
                <w:i/>
                <w:iCs/>
                <w:color w:val="1F1F1F"/>
                <w:szCs w:val="24"/>
              </w:rPr>
              <w:t>Total Precipitation</w:t>
            </w:r>
          </w:p>
        </w:tc>
        <w:tc>
          <w:tcPr>
            <w:tcW w:w="763" w:type="dxa"/>
            <w:vAlign w:val="center"/>
          </w:tcPr>
          <w:p w14:paraId="5ACD87C6">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tp</w:t>
            </w:r>
          </w:p>
        </w:tc>
        <w:tc>
          <w:tcPr>
            <w:tcW w:w="1150" w:type="dxa"/>
            <w:vAlign w:val="center"/>
          </w:tcPr>
          <w:p w14:paraId="19DE9CD6">
            <w:pPr>
              <w:spacing w:after="0" w:line="240" w:lineRule="auto"/>
              <w:jc w:val="center"/>
              <w:rPr>
                <w:rFonts w:eastAsia="Times New Roman" w:cs="Times New Roman"/>
                <w:color w:val="1F1F1F"/>
                <w:szCs w:val="24"/>
              </w:rPr>
            </w:pPr>
            <w:r>
              <w:rPr>
                <w:rFonts w:eastAsia="Times New Roman" w:cs="Times New Roman"/>
                <w:color w:val="1F1F1F"/>
                <w:szCs w:val="24"/>
              </w:rPr>
              <w:t>mm</w:t>
            </w:r>
          </w:p>
        </w:tc>
        <w:tc>
          <w:tcPr>
            <w:tcW w:w="1889" w:type="dxa"/>
            <w:vAlign w:val="center"/>
          </w:tcPr>
          <w:p w14:paraId="0C33726C">
            <w:pPr>
              <w:spacing w:after="0" w:line="240" w:lineRule="auto"/>
              <w:jc w:val="center"/>
              <w:rPr>
                <w:rFonts w:eastAsia="Times New Roman" w:cs="Times New Roman"/>
                <w:color w:val="1F1F1F"/>
                <w:szCs w:val="24"/>
              </w:rPr>
            </w:pPr>
            <w:r>
              <w:rPr>
                <w:rFonts w:eastAsia="Times New Roman" w:cs="Times New Roman"/>
                <w:color w:val="1F1F1F"/>
                <w:szCs w:val="24"/>
              </w:rPr>
              <w:t>Total</w:t>
            </w:r>
          </w:p>
        </w:tc>
        <w:tc>
          <w:tcPr>
            <w:tcW w:w="1430" w:type="dxa"/>
            <w:vAlign w:val="center"/>
          </w:tcPr>
          <w:p w14:paraId="2CB940F3">
            <w:pPr>
              <w:spacing w:after="0" w:line="240" w:lineRule="auto"/>
              <w:jc w:val="center"/>
              <w:rPr>
                <w:rFonts w:eastAsia="Times New Roman" w:cs="Times New Roman"/>
                <w:color w:val="1F1F1F"/>
                <w:szCs w:val="24"/>
              </w:rPr>
            </w:pPr>
            <w:r>
              <w:rPr>
                <w:rFonts w:eastAsia="Times New Roman" w:cs="Times New Roman"/>
                <w:color w:val="1F1F1F"/>
                <w:szCs w:val="24"/>
              </w:rPr>
              <w:t>Variabel Target</w:t>
            </w:r>
          </w:p>
        </w:tc>
      </w:tr>
      <w:tr w14:paraId="2B9A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Align w:val="center"/>
          </w:tcPr>
          <w:p w14:paraId="698F34F0">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2.</w:t>
            </w:r>
          </w:p>
        </w:tc>
        <w:tc>
          <w:tcPr>
            <w:tcW w:w="1710" w:type="dxa"/>
            <w:vAlign w:val="center"/>
          </w:tcPr>
          <w:p w14:paraId="35EEBB52">
            <w:pPr>
              <w:spacing w:after="0" w:line="240" w:lineRule="auto"/>
              <w:jc w:val="center"/>
              <w:rPr>
                <w:rFonts w:eastAsia="Times New Roman" w:cs="Times New Roman"/>
                <w:color w:val="1F1F1F"/>
                <w:szCs w:val="24"/>
              </w:rPr>
            </w:pPr>
            <w:r>
              <w:rPr>
                <w:rFonts w:eastAsia="Times New Roman" w:cs="Times New Roman"/>
                <w:i/>
                <w:iCs/>
                <w:color w:val="1F1F1F"/>
                <w:szCs w:val="24"/>
              </w:rPr>
              <w:t>2m Temperature</w:t>
            </w:r>
          </w:p>
        </w:tc>
        <w:tc>
          <w:tcPr>
            <w:tcW w:w="763" w:type="dxa"/>
            <w:vAlign w:val="center"/>
          </w:tcPr>
          <w:p w14:paraId="2295145B">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t2m</w:t>
            </w:r>
          </w:p>
        </w:tc>
        <w:tc>
          <w:tcPr>
            <w:tcW w:w="1150" w:type="dxa"/>
            <w:vAlign w:val="center"/>
          </w:tcPr>
          <w:p w14:paraId="4C3A992F">
            <w:pPr>
              <w:spacing w:after="0" w:line="240" w:lineRule="auto"/>
              <w:jc w:val="center"/>
              <w:rPr>
                <w:rFonts w:eastAsia="Times New Roman" w:cs="Times New Roman"/>
                <w:color w:val="1F1F1F"/>
                <w:szCs w:val="24"/>
              </w:rPr>
            </w:pPr>
            <m:oMathPara>
              <m:oMath>
                <m:r>
                  <m:rPr/>
                  <w:rPr>
                    <w:rFonts w:ascii="Cambria Math" w:hAnsi="Cambria Math" w:eastAsia="Times New Roman" w:cs="Times New Roman"/>
                    <w:color w:val="1F1F1F"/>
                    <w:szCs w:val="24"/>
                  </w:rPr>
                  <m:t>℃</m:t>
                </m:r>
              </m:oMath>
            </m:oMathPara>
          </w:p>
        </w:tc>
        <w:tc>
          <w:tcPr>
            <w:tcW w:w="1889" w:type="dxa"/>
            <w:vAlign w:val="center"/>
          </w:tcPr>
          <w:p w14:paraId="7F138DC4">
            <w:pPr>
              <w:spacing w:after="0" w:line="240" w:lineRule="auto"/>
              <w:jc w:val="center"/>
              <w:rPr>
                <w:rFonts w:eastAsia="Times New Roman" w:cs="Times New Roman"/>
                <w:color w:val="1F1F1F"/>
                <w:szCs w:val="24"/>
              </w:rPr>
            </w:pPr>
            <w:r>
              <w:rPr>
                <w:rFonts w:eastAsia="Times New Roman" w:cs="Times New Roman"/>
                <w:color w:val="1F1F1F"/>
                <w:szCs w:val="24"/>
              </w:rPr>
              <w:t>Rata-rata</w:t>
            </w:r>
          </w:p>
        </w:tc>
        <w:tc>
          <w:tcPr>
            <w:tcW w:w="1430" w:type="dxa"/>
            <w:vAlign w:val="center"/>
          </w:tcPr>
          <w:p w14:paraId="2C329569">
            <w:pPr>
              <w:spacing w:after="0" w:line="240" w:lineRule="auto"/>
              <w:jc w:val="center"/>
              <w:rPr>
                <w:rFonts w:eastAsia="Times New Roman" w:cs="Times New Roman"/>
                <w:color w:val="1F1F1F"/>
                <w:szCs w:val="24"/>
              </w:rPr>
            </w:pPr>
            <w:r>
              <w:rPr>
                <w:rFonts w:eastAsia="Times New Roman" w:cs="Times New Roman"/>
                <w:color w:val="1F1F1F"/>
                <w:szCs w:val="24"/>
              </w:rPr>
              <w:t>Prediktor</w:t>
            </w:r>
          </w:p>
        </w:tc>
      </w:tr>
      <w:tr w14:paraId="7B28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Align w:val="center"/>
          </w:tcPr>
          <w:p w14:paraId="66AD52C6">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3.</w:t>
            </w:r>
          </w:p>
        </w:tc>
        <w:tc>
          <w:tcPr>
            <w:tcW w:w="1710" w:type="dxa"/>
            <w:vAlign w:val="center"/>
          </w:tcPr>
          <w:p w14:paraId="224D576A">
            <w:pPr>
              <w:spacing w:after="0" w:line="240" w:lineRule="auto"/>
              <w:jc w:val="center"/>
              <w:rPr>
                <w:rFonts w:eastAsia="Times New Roman" w:cs="Times New Roman"/>
                <w:color w:val="1F1F1F"/>
                <w:szCs w:val="24"/>
              </w:rPr>
            </w:pPr>
            <w:r>
              <w:rPr>
                <w:rFonts w:eastAsia="Times New Roman" w:cs="Times New Roman"/>
                <w:i/>
                <w:iCs/>
                <w:color w:val="1F1F1F"/>
                <w:szCs w:val="24"/>
              </w:rPr>
              <w:t>2m Dewpoint Temp.</w:t>
            </w:r>
          </w:p>
        </w:tc>
        <w:tc>
          <w:tcPr>
            <w:tcW w:w="763" w:type="dxa"/>
            <w:vAlign w:val="center"/>
          </w:tcPr>
          <w:p w14:paraId="0C1F3D0D">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d2m</w:t>
            </w:r>
          </w:p>
        </w:tc>
        <w:tc>
          <w:tcPr>
            <w:tcW w:w="1150" w:type="dxa"/>
            <w:vAlign w:val="center"/>
          </w:tcPr>
          <w:p w14:paraId="2575D066">
            <w:pPr>
              <w:spacing w:after="0" w:line="240" w:lineRule="auto"/>
              <w:jc w:val="center"/>
              <w:rPr>
                <w:rFonts w:eastAsia="Times New Roman" w:cs="Times New Roman"/>
                <w:color w:val="1F1F1F"/>
                <w:szCs w:val="24"/>
              </w:rPr>
            </w:pPr>
            <m:oMathPara>
              <m:oMath>
                <m:r>
                  <m:rPr/>
                  <w:rPr>
                    <w:rFonts w:ascii="Cambria Math" w:hAnsi="Cambria Math" w:eastAsia="Times New Roman" w:cs="Times New Roman"/>
                    <w:color w:val="1F1F1F"/>
                    <w:szCs w:val="24"/>
                  </w:rPr>
                  <m:t>℃</m:t>
                </m:r>
              </m:oMath>
            </m:oMathPara>
          </w:p>
        </w:tc>
        <w:tc>
          <w:tcPr>
            <w:tcW w:w="1889" w:type="dxa"/>
          </w:tcPr>
          <w:p w14:paraId="33C8A722">
            <w:pPr>
              <w:spacing w:after="0" w:line="240" w:lineRule="auto"/>
              <w:jc w:val="center"/>
              <w:rPr>
                <w:rFonts w:eastAsia="Times New Roman" w:cs="Times New Roman"/>
                <w:color w:val="1F1F1F"/>
                <w:szCs w:val="24"/>
              </w:rPr>
            </w:pPr>
            <w:r>
              <w:rPr>
                <w:rFonts w:eastAsia="Times New Roman" w:cs="Times New Roman"/>
                <w:color w:val="1F1F1F"/>
                <w:szCs w:val="24"/>
              </w:rPr>
              <w:t>Rata-rata</w:t>
            </w:r>
          </w:p>
        </w:tc>
        <w:tc>
          <w:tcPr>
            <w:tcW w:w="1430" w:type="dxa"/>
            <w:vAlign w:val="center"/>
          </w:tcPr>
          <w:p w14:paraId="33C0812B">
            <w:pPr>
              <w:spacing w:after="0" w:line="240" w:lineRule="auto"/>
              <w:jc w:val="center"/>
              <w:rPr>
                <w:rFonts w:eastAsia="Times New Roman" w:cs="Times New Roman"/>
                <w:color w:val="1F1F1F"/>
                <w:szCs w:val="24"/>
              </w:rPr>
            </w:pPr>
            <w:r>
              <w:rPr>
                <w:rFonts w:eastAsia="Times New Roman" w:cs="Times New Roman"/>
                <w:color w:val="1F1F1F"/>
                <w:szCs w:val="24"/>
              </w:rPr>
              <w:t>Prediktor</w:t>
            </w:r>
          </w:p>
        </w:tc>
      </w:tr>
      <w:tr w14:paraId="4486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Align w:val="center"/>
          </w:tcPr>
          <w:p w14:paraId="4DCD723D">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4.</w:t>
            </w:r>
          </w:p>
        </w:tc>
        <w:tc>
          <w:tcPr>
            <w:tcW w:w="1710" w:type="dxa"/>
            <w:vAlign w:val="center"/>
          </w:tcPr>
          <w:p w14:paraId="5DA469CC">
            <w:pPr>
              <w:spacing w:after="0" w:line="240" w:lineRule="auto"/>
              <w:jc w:val="center"/>
              <w:rPr>
                <w:rFonts w:eastAsia="Times New Roman" w:cs="Times New Roman"/>
                <w:color w:val="1F1F1F"/>
                <w:szCs w:val="24"/>
              </w:rPr>
            </w:pPr>
            <w:r>
              <w:rPr>
                <w:rFonts w:eastAsia="Times New Roman" w:cs="Times New Roman"/>
                <w:i/>
                <w:iCs/>
                <w:color w:val="1F1F1F"/>
                <w:szCs w:val="24"/>
              </w:rPr>
              <w:t>U-component of wind</w:t>
            </w:r>
          </w:p>
        </w:tc>
        <w:tc>
          <w:tcPr>
            <w:tcW w:w="763" w:type="dxa"/>
            <w:vAlign w:val="center"/>
          </w:tcPr>
          <w:p w14:paraId="077B9692">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u10</w:t>
            </w:r>
          </w:p>
        </w:tc>
        <w:tc>
          <w:tcPr>
            <w:tcW w:w="1150" w:type="dxa"/>
            <w:vAlign w:val="center"/>
          </w:tcPr>
          <w:p w14:paraId="2B4C2240">
            <w:pPr>
              <w:spacing w:after="0" w:line="240" w:lineRule="auto"/>
              <w:jc w:val="center"/>
              <w:rPr>
                <w:rFonts w:eastAsia="Times New Roman" w:cs="Times New Roman"/>
                <w:color w:val="1F1F1F"/>
                <w:szCs w:val="24"/>
              </w:rPr>
            </w:pPr>
            <w:r>
              <w:rPr>
                <w:rFonts w:eastAsia="Times New Roman" w:cs="Times New Roman"/>
                <w:color w:val="1F1F1F"/>
                <w:szCs w:val="24"/>
              </w:rPr>
              <w:t>m/s</w:t>
            </w:r>
          </w:p>
        </w:tc>
        <w:tc>
          <w:tcPr>
            <w:tcW w:w="1889" w:type="dxa"/>
          </w:tcPr>
          <w:p w14:paraId="22CAC878">
            <w:pPr>
              <w:spacing w:after="0" w:line="240" w:lineRule="auto"/>
              <w:jc w:val="center"/>
              <w:rPr>
                <w:rFonts w:eastAsia="Times New Roman" w:cs="Times New Roman"/>
                <w:color w:val="1F1F1F"/>
                <w:szCs w:val="24"/>
              </w:rPr>
            </w:pPr>
            <w:r>
              <w:rPr>
                <w:rFonts w:eastAsia="Times New Roman" w:cs="Times New Roman"/>
                <w:color w:val="1F1F1F"/>
                <w:szCs w:val="24"/>
              </w:rPr>
              <w:t>Rata-rata</w:t>
            </w:r>
          </w:p>
        </w:tc>
        <w:tc>
          <w:tcPr>
            <w:tcW w:w="1430" w:type="dxa"/>
            <w:vAlign w:val="center"/>
          </w:tcPr>
          <w:p w14:paraId="5879678D">
            <w:pPr>
              <w:spacing w:after="0" w:line="240" w:lineRule="auto"/>
              <w:jc w:val="center"/>
              <w:rPr>
                <w:rFonts w:eastAsia="Times New Roman" w:cs="Times New Roman"/>
                <w:color w:val="1F1F1F"/>
                <w:szCs w:val="24"/>
              </w:rPr>
            </w:pPr>
            <w:r>
              <w:rPr>
                <w:rFonts w:eastAsia="Times New Roman" w:cs="Times New Roman"/>
                <w:color w:val="1F1F1F"/>
                <w:szCs w:val="24"/>
              </w:rPr>
              <w:t>Prediktor</w:t>
            </w:r>
          </w:p>
        </w:tc>
      </w:tr>
      <w:tr w14:paraId="3376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Align w:val="center"/>
          </w:tcPr>
          <w:p w14:paraId="775333F3">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5.</w:t>
            </w:r>
          </w:p>
        </w:tc>
        <w:tc>
          <w:tcPr>
            <w:tcW w:w="1710" w:type="dxa"/>
            <w:vAlign w:val="center"/>
          </w:tcPr>
          <w:p w14:paraId="4DFCEB8F">
            <w:pPr>
              <w:spacing w:after="0" w:line="240" w:lineRule="auto"/>
              <w:jc w:val="center"/>
              <w:rPr>
                <w:rFonts w:eastAsia="Times New Roman" w:cs="Times New Roman"/>
                <w:color w:val="1F1F1F"/>
                <w:szCs w:val="24"/>
              </w:rPr>
            </w:pPr>
            <w:r>
              <w:rPr>
                <w:rFonts w:eastAsia="Times New Roman" w:cs="Times New Roman"/>
                <w:i/>
                <w:iCs/>
                <w:color w:val="1F1F1F"/>
                <w:szCs w:val="24"/>
              </w:rPr>
              <w:t>V-component of wind</w:t>
            </w:r>
          </w:p>
        </w:tc>
        <w:tc>
          <w:tcPr>
            <w:tcW w:w="763" w:type="dxa"/>
            <w:vAlign w:val="center"/>
          </w:tcPr>
          <w:p w14:paraId="7AE5B792">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v10</w:t>
            </w:r>
          </w:p>
        </w:tc>
        <w:tc>
          <w:tcPr>
            <w:tcW w:w="1150" w:type="dxa"/>
            <w:vAlign w:val="center"/>
          </w:tcPr>
          <w:p w14:paraId="59C04816">
            <w:pPr>
              <w:spacing w:after="0" w:line="240" w:lineRule="auto"/>
              <w:jc w:val="center"/>
              <w:rPr>
                <w:rFonts w:eastAsia="Times New Roman" w:cs="Times New Roman"/>
                <w:color w:val="1F1F1F"/>
                <w:szCs w:val="24"/>
              </w:rPr>
            </w:pPr>
            <w:r>
              <w:rPr>
                <w:rFonts w:eastAsia="Times New Roman" w:cs="Times New Roman"/>
                <w:color w:val="1F1F1F"/>
                <w:szCs w:val="24"/>
              </w:rPr>
              <w:t>m/s</w:t>
            </w:r>
          </w:p>
        </w:tc>
        <w:tc>
          <w:tcPr>
            <w:tcW w:w="1889" w:type="dxa"/>
          </w:tcPr>
          <w:p w14:paraId="409A4B22">
            <w:pPr>
              <w:spacing w:after="0" w:line="240" w:lineRule="auto"/>
              <w:jc w:val="center"/>
              <w:rPr>
                <w:rFonts w:eastAsia="Times New Roman" w:cs="Times New Roman"/>
                <w:color w:val="1F1F1F"/>
                <w:szCs w:val="24"/>
              </w:rPr>
            </w:pPr>
            <w:r>
              <w:rPr>
                <w:rFonts w:eastAsia="Times New Roman" w:cs="Times New Roman"/>
                <w:color w:val="1F1F1F"/>
                <w:szCs w:val="24"/>
              </w:rPr>
              <w:t>Rata-rata</w:t>
            </w:r>
          </w:p>
        </w:tc>
        <w:tc>
          <w:tcPr>
            <w:tcW w:w="1430" w:type="dxa"/>
            <w:vAlign w:val="center"/>
          </w:tcPr>
          <w:p w14:paraId="7A413AB4">
            <w:pPr>
              <w:spacing w:after="0" w:line="240" w:lineRule="auto"/>
              <w:jc w:val="center"/>
              <w:rPr>
                <w:rFonts w:eastAsia="Times New Roman" w:cs="Times New Roman"/>
                <w:color w:val="1F1F1F"/>
                <w:szCs w:val="24"/>
              </w:rPr>
            </w:pPr>
            <w:r>
              <w:rPr>
                <w:rFonts w:eastAsia="Times New Roman" w:cs="Times New Roman"/>
                <w:color w:val="1F1F1F"/>
                <w:szCs w:val="24"/>
              </w:rPr>
              <w:t>Prediktor</w:t>
            </w:r>
          </w:p>
        </w:tc>
      </w:tr>
    </w:tbl>
    <w:p w14:paraId="51D2E189">
      <w:pPr>
        <w:pStyle w:val="33"/>
        <w:numPr>
          <w:ilvl w:val="0"/>
          <w:numId w:val="20"/>
        </w:numPr>
        <w:spacing w:before="240" w:after="0"/>
        <w:rPr>
          <w:b/>
        </w:rPr>
      </w:pPr>
      <w:r>
        <w:rPr>
          <w:b/>
        </w:rPr>
        <w:t>Data Indeks Iklim Global</w:t>
      </w:r>
    </w:p>
    <w:p w14:paraId="2223232E">
      <w:pPr>
        <w:spacing w:after="0"/>
        <w:ind w:left="360" w:firstLine="360"/>
      </w:pPr>
      <w:r>
        <w:rPr>
          <w:lang w:val="en-US"/>
        </w:rPr>
        <w:t>Dalam</w:t>
      </w:r>
      <w:r>
        <w:t xml:space="preserve"> mendukung analisis </w:t>
      </w:r>
      <w:r>
        <w:rPr>
          <w:i/>
        </w:rPr>
        <w:t>regime</w:t>
      </w:r>
      <w:r>
        <w:t>-</w:t>
      </w:r>
      <w:r>
        <w:rPr>
          <w:i/>
        </w:rPr>
        <w:t>aware</w:t>
      </w:r>
      <w:r>
        <w:t>, penelitian ini mengintegrasikan dua indeks fenomena atmosfer skala besar:</w:t>
      </w:r>
    </w:p>
    <w:p w14:paraId="39097075">
      <w:pPr>
        <w:pStyle w:val="33"/>
        <w:numPr>
          <w:ilvl w:val="0"/>
          <w:numId w:val="21"/>
        </w:numPr>
        <w:spacing w:after="0"/>
      </w:pPr>
      <w:r>
        <w:rPr>
          <w:lang w:val="en-US"/>
        </w:rPr>
        <w:t>Data QBO</w:t>
      </w:r>
      <w:r>
        <w:t xml:space="preserve"> diambil dari nilai indeks bulanan zona ekuator.</w:t>
      </w:r>
      <w:r>
        <w:rPr>
          <w:lang w:val="en-US"/>
        </w:rPr>
        <w:t xml:space="preserve"> </w:t>
      </w:r>
      <w:r>
        <w:t>Data</w:t>
      </w:r>
      <w:r>
        <w:rPr>
          <w:lang w:val="en-US"/>
        </w:rPr>
        <w:t xml:space="preserve"> QBO</w:t>
      </w:r>
      <w:r>
        <w:t xml:space="preserve"> yang digunakan dalam penelitian ini diperoleh dari </w:t>
      </w:r>
      <w:r>
        <w:rPr>
          <w:rStyle w:val="24"/>
          <w:b w:val="0"/>
        </w:rPr>
        <w:t>NOAA</w:t>
      </w:r>
      <w:r>
        <w:rPr>
          <w:rStyle w:val="24"/>
          <w:b w:val="0"/>
          <w:lang w:val="en-US"/>
        </w:rPr>
        <w:t xml:space="preserve"> PSL</w:t>
      </w:r>
      <w:r>
        <w:rPr>
          <w:rStyle w:val="24"/>
          <w:b w:val="0"/>
        </w:rPr>
        <w:t xml:space="preserve"> </w:t>
      </w:r>
      <w:r>
        <w:rPr>
          <w:rStyle w:val="24"/>
          <w:b w:val="0"/>
          <w:lang w:val="en-US"/>
        </w:rPr>
        <w:t xml:space="preserve">(National Oceanic dan Atmospheric Administration </w:t>
      </w:r>
      <w:r>
        <w:rPr>
          <w:rStyle w:val="24"/>
          <w:b w:val="0"/>
        </w:rPr>
        <w:t>Physical Sciences Laboratory</w:t>
      </w:r>
      <w:r>
        <w:rPr>
          <w:rStyle w:val="24"/>
          <w:b w:val="0"/>
          <w:lang w:val="en-US"/>
        </w:rPr>
        <w:t>)</w:t>
      </w:r>
      <w:r>
        <w:rPr>
          <w:rStyle w:val="24"/>
          <w:b w:val="0"/>
        </w:rPr>
        <w:t xml:space="preserve"> </w:t>
      </w:r>
      <w:r>
        <w:rPr>
          <w:rStyle w:val="24"/>
          <w:b w:val="0"/>
          <w:lang w:val="en-US"/>
        </w:rPr>
        <w:t xml:space="preserve">dengan tautan sebagai berikut: </w:t>
      </w:r>
      <w:r>
        <w:fldChar w:fldCharType="begin"/>
      </w:r>
      <w:r>
        <w:instrText xml:space="preserve"> HYPERLINK "https://psl.noaa.gov/data/timeseries/month/QBO50/" </w:instrText>
      </w:r>
      <w:r>
        <w:fldChar w:fldCharType="separate"/>
      </w:r>
      <w:r>
        <w:rPr>
          <w:rStyle w:val="22"/>
          <w:color w:val="auto"/>
          <w:u w:val="none"/>
        </w:rPr>
        <w:t>https://psl.noaa.gov/data/timeseries/month/QBO50/</w:t>
      </w:r>
      <w:r>
        <w:rPr>
          <w:rStyle w:val="22"/>
          <w:color w:val="auto"/>
          <w:u w:val="none"/>
        </w:rPr>
        <w:fldChar w:fldCharType="end"/>
      </w:r>
      <w:r>
        <w:rPr>
          <w:rStyle w:val="24"/>
          <w:b w:val="0"/>
          <w:lang w:val="en-US"/>
        </w:rPr>
        <w:t xml:space="preserve">. </w:t>
      </w:r>
    </w:p>
    <w:p w14:paraId="3A2BFCB0">
      <w:pPr>
        <w:pStyle w:val="33"/>
        <w:numPr>
          <w:ilvl w:val="0"/>
          <w:numId w:val="21"/>
        </w:numPr>
        <w:spacing w:after="0"/>
      </w:pPr>
      <w:r>
        <w:rPr>
          <w:lang w:val="en-US"/>
        </w:rPr>
        <w:t>MJO</w:t>
      </w:r>
      <w:r>
        <w:t xml:space="preserve"> Menggunakan data </w:t>
      </w:r>
      <w:r>
        <w:rPr>
          <w:i/>
        </w:rPr>
        <w:t>Real-time</w:t>
      </w:r>
      <w:r>
        <w:t xml:space="preserve"> </w:t>
      </w:r>
      <w:r>
        <w:rPr>
          <w:i/>
        </w:rPr>
        <w:t>Multivariate</w:t>
      </w:r>
      <w:r>
        <w:t xml:space="preserve"> MJO (RMM) yang terdiri dari komponen RMM1 dan RMM2 untuk menentukan fase dan amplitudo aktivitas konvektif di wilayah tropis.</w:t>
      </w:r>
      <w:r>
        <w:rPr>
          <w:lang w:val="en-US"/>
        </w:rPr>
        <w:t xml:space="preserve"> </w:t>
      </w:r>
      <w:r>
        <w:t>Data fase MJO diambil dari situs resmi Australian Bureau of Meteorology</w:t>
      </w:r>
      <w:r>
        <w:rPr>
          <w:lang w:val="en-US"/>
        </w:rPr>
        <w:t xml:space="preserve"> (BoM). Data MJO bisa diunduh dari tautan berikut: </w:t>
      </w:r>
      <w:r>
        <w:fldChar w:fldCharType="begin"/>
      </w:r>
      <w:r>
        <w:instrText xml:space="preserve"> HYPERLINK "https://www.bom.gov.au/clim_data/IDCKGEM000/rmm.74toRealtime.txt" </w:instrText>
      </w:r>
      <w:r>
        <w:fldChar w:fldCharType="separate"/>
      </w:r>
      <w:r>
        <w:rPr>
          <w:rStyle w:val="22"/>
          <w:color w:val="auto"/>
          <w:u w:val="none"/>
          <w:lang w:val="en-US"/>
        </w:rPr>
        <w:t>https://www.bom.gov.au/clim_data/IDCKGEM000/rmm.74toRealtime.txt</w:t>
      </w:r>
      <w:r>
        <w:rPr>
          <w:rStyle w:val="22"/>
          <w:color w:val="auto"/>
          <w:u w:val="none"/>
          <w:lang w:val="en-US"/>
        </w:rPr>
        <w:fldChar w:fldCharType="end"/>
      </w:r>
      <w:r>
        <w:rPr>
          <w:lang w:val="en-US"/>
        </w:rPr>
        <w:t xml:space="preserve">. </w:t>
      </w:r>
    </w:p>
    <w:p w14:paraId="4489D104">
      <w:pPr>
        <w:pStyle w:val="33"/>
        <w:numPr>
          <w:ilvl w:val="0"/>
          <w:numId w:val="21"/>
        </w:numPr>
      </w:pPr>
      <w:r>
        <w:rPr>
          <w:lang w:val="en-US"/>
        </w:rPr>
        <w:t xml:space="preserve">ENSO </w:t>
      </w:r>
      <w:r>
        <w:t>direpresentasikan oleh indeks Nino3.4 yang diperoleh dari NOAA PSL.</w:t>
      </w:r>
      <w:r>
        <w:rPr>
          <w:lang w:val="en-US"/>
        </w:rPr>
        <w:t xml:space="preserve"> Data ENSO bisa diunduh dari tautan berikut: </w:t>
      </w:r>
      <w:r>
        <w:fldChar w:fldCharType="begin"/>
      </w:r>
      <w:r>
        <w:instrText xml:space="preserve"> HYPERLINK "https://www.cpc.ncep.noaa.gov/data/indices/sstoi.indices" </w:instrText>
      </w:r>
      <w:r>
        <w:fldChar w:fldCharType="separate"/>
      </w:r>
      <w:r>
        <w:rPr>
          <w:rStyle w:val="22"/>
          <w:color w:val="auto"/>
          <w:u w:val="none"/>
        </w:rPr>
        <w:t>https://www.cpc.ncep.noaa.gov/data/indices/sstoi.indices</w:t>
      </w:r>
      <w:r>
        <w:rPr>
          <w:rStyle w:val="22"/>
          <w:color w:val="auto"/>
          <w:u w:val="none"/>
        </w:rPr>
        <w:fldChar w:fldCharType="end"/>
      </w:r>
      <w:r>
        <w:rPr>
          <w:lang w:val="en-US"/>
        </w:rPr>
        <w:t xml:space="preserve">.  </w:t>
      </w:r>
    </w:p>
    <w:p w14:paraId="76246190">
      <w:pPr>
        <w:pStyle w:val="3"/>
      </w:pPr>
      <w:bookmarkStart w:id="54" w:name="_Toc236076740"/>
      <w:r>
        <w:t>3.3 Komponen Utama Penelitian</w:t>
      </w:r>
      <w:bookmarkEnd w:id="54"/>
    </w:p>
    <w:p w14:paraId="6CBFCCB8">
      <w:pPr>
        <w:pStyle w:val="4"/>
      </w:pPr>
      <w:bookmarkStart w:id="55" w:name="_Toc236076741"/>
      <w:r>
        <w:t xml:space="preserve">3.3.1 Modul </w:t>
      </w:r>
      <w:r>
        <w:rPr>
          <w:i/>
        </w:rPr>
        <w:t>Preprocessing</w:t>
      </w:r>
      <w:r>
        <w:t xml:space="preserve"> Data</w:t>
      </w:r>
      <w:bookmarkEnd w:id="55"/>
    </w:p>
    <w:p w14:paraId="151D8EFB">
      <w:pPr>
        <w:keepNext/>
        <w:spacing w:after="0"/>
        <w:jc w:val="center"/>
      </w:pPr>
      <w:r>
        <w:rPr>
          <w:lang w:val="en-US"/>
        </w:rPr>
        <w:drawing>
          <wp:inline distT="0" distB="0" distL="0" distR="0">
            <wp:extent cx="4937760" cy="55283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945034" cy="5536748"/>
                    </a:xfrm>
                    <a:prstGeom prst="rect">
                      <a:avLst/>
                    </a:prstGeom>
                  </pic:spPr>
                </pic:pic>
              </a:graphicData>
            </a:graphic>
          </wp:inline>
        </w:drawing>
      </w:r>
    </w:p>
    <w:p w14:paraId="2A02E876">
      <w:pPr>
        <w:pStyle w:val="11"/>
        <w:keepNext/>
        <w:jc w:val="center"/>
        <w:rPr>
          <w:b/>
          <w:i w:val="0"/>
          <w:color w:val="auto"/>
          <w:sz w:val="24"/>
        </w:rPr>
      </w:pPr>
      <w:bookmarkStart w:id="56" w:name="_Toc236077401"/>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rPr>
        <w:t xml:space="preserve"> Arsitektur Preprocessing Data</w:t>
      </w:r>
      <w:bookmarkEnd w:id="56"/>
    </w:p>
    <w:p w14:paraId="4C9CAFF6">
      <w:pPr>
        <w:spacing w:after="0"/>
        <w:ind w:firstLine="720"/>
        <w:rPr>
          <w:b/>
          <w:i/>
        </w:rPr>
      </w:pPr>
      <w:r>
        <w:rPr>
          <w:lang w:val="en-US"/>
        </w:rPr>
        <w:t xml:space="preserve">Gambar 3. 6 merupakan arsitektur dari modul </w:t>
      </w:r>
      <w:r>
        <w:rPr>
          <w:i/>
          <w:lang w:val="en-US"/>
        </w:rPr>
        <w:t>preprocessing</w:t>
      </w:r>
      <w:r>
        <w:rPr>
          <w:lang w:val="en-US"/>
        </w:rPr>
        <w:t xml:space="preserve"> data, modul ini merupakan komponen awal sistem yang bertanggung jawab untuk menyiapkan data masukan bagi seluruh tahapan eksperimen, mulai dari HPO hingga pelatihan dan evaluasi model.</w:t>
      </w:r>
      <w:r>
        <w:rPr>
          <w:b/>
          <w:i/>
          <w:lang w:val="en-US"/>
        </w:rPr>
        <w:t xml:space="preserve"> </w:t>
      </w:r>
      <w:r>
        <w:rPr>
          <w:lang w:val="en-US"/>
        </w:rPr>
        <w:t xml:space="preserve">Seluruh modul </w:t>
      </w:r>
      <w:r>
        <w:rPr>
          <w:i/>
          <w:lang w:val="en-US"/>
        </w:rPr>
        <w:t>preprocessing</w:t>
      </w:r>
      <w:r>
        <w:rPr>
          <w:lang w:val="en-US"/>
        </w:rPr>
        <w:t xml:space="preserve"> diimplementasikan secara terpusat dalam satu skrip utama sehingga proses pengolahan data dapat dijalankan secara konsisten untuk setiap </w:t>
      </w:r>
      <w:r>
        <w:rPr>
          <w:i/>
          <w:lang w:val="en-US"/>
        </w:rPr>
        <w:t xml:space="preserve">site </w:t>
      </w:r>
      <w:r>
        <w:t>yang dikonfigurasi via berkas YAML</w:t>
      </w:r>
      <w:r>
        <w:rPr>
          <w:lang w:val="en-US"/>
        </w:rPr>
        <w:t>.</w:t>
      </w:r>
    </w:p>
    <w:p w14:paraId="321759F1">
      <w:pPr>
        <w:pStyle w:val="44"/>
      </w:pPr>
      <w:r>
        <w:t>a) Tahap Pengunduhan dan Input Data BMKG dan ERA5-Land</w:t>
      </w:r>
    </w:p>
    <w:p w14:paraId="44E249C4">
      <w:pPr>
        <w:spacing w:after="0"/>
        <w:ind w:left="284" w:firstLine="720"/>
        <w:rPr>
          <w:lang w:val="en-US"/>
        </w:rPr>
      </w:pPr>
      <w:r>
        <w:t xml:space="preserve">Tahap ini mengintegrasikan data curah hujan BMKG, reanalisis ERA5-Land, dan indeks iklim global. Data ERA5-Land diunduh via CDS API dan BMKG via tautan DDK dengan mekanisme </w:t>
      </w:r>
      <w:r>
        <w:rPr>
          <w:i/>
          <w:iCs/>
        </w:rPr>
        <w:t>resumable</w:t>
      </w:r>
      <w:r>
        <w:t>, lalu disimpan dalam format NetCDF</w:t>
      </w:r>
      <w:r>
        <w:rPr>
          <w:lang w:val="en-US"/>
        </w:rPr>
        <w:t xml:space="preserve">. </w:t>
      </w:r>
      <w:r>
        <w:t xml:space="preserve">Pemrosesan </w:t>
      </w:r>
      <w:r>
        <w:rPr>
          <w:i/>
        </w:rPr>
        <w:t>time series</w:t>
      </w:r>
      <w:r>
        <w:t xml:space="preserve"> </w:t>
      </w:r>
      <w:r>
        <w:rPr>
          <w:lang w:val="en-US"/>
        </w:rPr>
        <w:t xml:space="preserve">curah hujan </w:t>
      </w:r>
      <w:r>
        <w:t xml:space="preserve">harian </w:t>
      </w:r>
      <w:r>
        <w:rPr>
          <w:lang w:val="en-US"/>
        </w:rPr>
        <w:t>menggunakan</w:t>
      </w:r>
      <w:r>
        <w:t xml:space="preserve"> data BMKG</w:t>
      </w:r>
      <w:r>
        <w:rPr>
          <w:lang w:val="en-US"/>
        </w:rPr>
        <w:t xml:space="preserve"> jika tersedia data. Jika tidak, maka menggunakan data dari ERA-5 Land</w:t>
      </w:r>
      <w:r>
        <w:t>. Variabel curah hujan diakumulasi (mm/hari), sedangkan variabel atmosfer lain dirata-ratakan harian dengan konversi unit ke Celsius. Kelembapan Relatif (RH) dihitung per jam menggunakan rumus Magnus-Tetens</w:t>
      </w:r>
      <w:r>
        <w:rPr>
          <w:lang w:val="en-US"/>
        </w:rPr>
        <w:t xml:space="preserve"> (2.3)</w:t>
      </w:r>
      <w:r>
        <w:t xml:space="preserve"> sebelum dirata-ratakan.</w:t>
      </w:r>
      <w:r>
        <w:rPr>
          <w:lang w:val="en-US"/>
        </w:rPr>
        <w:t xml:space="preserve"> Jika terdapat</w:t>
      </w:r>
      <w:r>
        <w:t xml:space="preserve"> </w:t>
      </w:r>
      <w:r>
        <w:rPr>
          <w:i/>
          <w:iCs/>
        </w:rPr>
        <w:t>missing value</w:t>
      </w:r>
      <w:r>
        <w:rPr>
          <w:i/>
          <w:iCs/>
          <w:lang w:val="en-US"/>
        </w:rPr>
        <w:t xml:space="preserve"> (NaN)</w:t>
      </w:r>
      <w:r>
        <w:rPr>
          <w:lang w:val="en-US"/>
        </w:rPr>
        <w:t xml:space="preserve">, data akan </w:t>
      </w:r>
      <w:r>
        <w:t xml:space="preserve">diimputasi </w:t>
      </w:r>
      <w:r>
        <w:rPr>
          <w:lang w:val="en-US"/>
        </w:rPr>
        <w:t xml:space="preserve">dengan nilai rata-rata. </w:t>
      </w:r>
      <w:r>
        <w:t xml:space="preserve">Sebelum disimpan, </w:t>
      </w:r>
      <w:r>
        <w:rPr>
          <w:lang w:val="en-US"/>
        </w:rPr>
        <w:t xml:space="preserve">modul </w:t>
      </w:r>
      <w:r>
        <w:t xml:space="preserve">menerapkan filter </w:t>
      </w:r>
      <w:r>
        <w:rPr>
          <w:i/>
        </w:rPr>
        <w:t>drizzle</w:t>
      </w:r>
      <w:r>
        <w:t xml:space="preserve"> untuk menekan bias curah hujan ringan yang umum terjadi pada produk reanalisis. Filter ini mengabaikan</w:t>
      </w:r>
      <w:r>
        <w:rPr>
          <w:lang w:val="en-US"/>
        </w:rPr>
        <w:t xml:space="preserve"> </w:t>
      </w:r>
      <w:r>
        <w:t>curah hujan di bawah ambang batas 0.1 mm/jam</w:t>
      </w:r>
      <w:r>
        <w:rPr>
          <w:lang w:val="en-US"/>
        </w:rPr>
        <w:t xml:space="preserve"> (menjadikannya 0mm) </w:t>
      </w:r>
      <w:r>
        <w:rPr>
          <w:lang w:val="en-US"/>
        </w:rPr>
        <w:fldChar w:fldCharType="begin" w:fldLock="1"/>
      </w:r>
      <w:r>
        <w:rPr>
          <w:lang w:val="en-US"/>
        </w:rPr>
        <w:instrText xml:space="preserve">ADDIN CSL_CITATION {"citationItems":[{"id":"ITEM-1","itemData":{"DOI":"10.5194/hess-27-3265-2023","author":[{"dropping-particle":"","family":"Schnepper","given":"Tobias","non-dropping-particle":"","parse-names":false,"suffix":""},{"dropping-particle":"","family":"Groh","given":"J","non-dropping-particle":"","parse-names":false,"suffix":""},{"dropping-particle":"","family":"Gerke","given":"H","non-dropping-particle":"","parse-names":false,"suffix":""},{"dropping-particle":"","family":"Reichert","given":"B","non-dropping-particle":"","parse-names":false,"suffix":""},{"dropping-particle":"","family":"Pütz","given":"T","non-dropping-particle":"","parse-names":false,"suffix":""}],"container-title":"Hydrology and Earth System Sciences","id":"ITEM-1","issued":{"date-parts":[["2023"]]},"title":"Evaluation of precipitation measurement methods using data from a precision lysimeter network","type":"article-journal"},"uris":["http://www.mendeley.com/documents/?uuid=f568fd98-31a1-4b35-b8ce-d6b7e5354223"]}],"mendeley":{"formattedCitation":"(Schnepper dkk., 2023)","manualFormatting":"(Schnepper dkk., 2023)","plainTextFormattedCitation":"(Schnepper dkk., 2023)","previouslyFormattedCitation":"(Schnepper &lt;i&gt;et al.&lt;/i&gt;, 2023)"},"properties":{"noteIndex":0},"schema":"https://github.com/citation-style-language/schema/raw/master/csl-citation.json"}</w:instrText>
      </w:r>
      <w:r>
        <w:rPr>
          <w:lang w:val="en-US"/>
        </w:rPr>
        <w:fldChar w:fldCharType="separate"/>
      </w:r>
      <w:r>
        <w:rPr>
          <w:lang w:val="en-US"/>
        </w:rPr>
        <w:t>(Schnepper dkk., 2023)</w:t>
      </w:r>
      <w:r>
        <w:rPr>
          <w:lang w:val="en-US"/>
        </w:rPr>
        <w:fldChar w:fldCharType="end"/>
      </w:r>
      <w:r>
        <w:t>.</w:t>
      </w:r>
      <w:r>
        <w:rPr>
          <w:lang w:val="en-US"/>
        </w:rPr>
        <w:t xml:space="preserve"> </w:t>
      </w:r>
      <w:r>
        <w:t>Keluaran akhir tahap ini adalah berkas CSV harian yang disimpan di</w:t>
      </w:r>
      <w:r>
        <w:rPr>
          <w:lang w:val="en-US"/>
        </w:rPr>
        <w:t xml:space="preserve"> direktori dan</w:t>
      </w:r>
      <w:r>
        <w:t xml:space="preserve"> memuat kolom indeks tanggal sert</w:t>
      </w:r>
      <w:r>
        <w:rPr>
          <w:lang w:val="en-US"/>
        </w:rPr>
        <w:t>a variable parameter.</w:t>
      </w:r>
    </w:p>
    <w:p w14:paraId="3834CE87">
      <w:pPr>
        <w:pStyle w:val="44"/>
      </w:pPr>
      <w:r>
        <w:t>b) Agregasi Harian ke Skala Dasarian</w:t>
      </w:r>
    </w:p>
    <w:p w14:paraId="5CE3E137">
      <w:pPr>
        <w:spacing w:after="0"/>
        <w:ind w:left="284" w:firstLine="720"/>
        <w:rPr>
          <w:lang w:val="en-US"/>
        </w:rPr>
      </w:pPr>
      <w:r>
        <w:rPr>
          <w:lang w:val="en-US"/>
        </w:rPr>
        <w:t>Agregasi harian ke skala dasarian membagi tiap bulan menjadi tiga segmen: hari 1–10 (Dasarian 1), 11–20 (Dasarian 2), dan 21–akhir bulan (Dasarian 3), dengan penanganan otomatis untuk variasi jumlah hari dan tahun kabisat. Aturan agregasi disesuaikan dengan karakter variabel: curah hujan dijumlahkan untuk merepresentasikan total curah hujan per dekad, sedangkan variabel meteorologi lain dirata-ratakan. Dataset kemudian diperkaya dengan fitur temporal, lalu ditransformasikan menjadi sin36 dan cos36 sesuai formula (2.3) untuk menangkap pola musiman.</w:t>
      </w:r>
    </w:p>
    <w:p w14:paraId="2D43E275">
      <w:pPr>
        <w:spacing w:after="0"/>
        <w:ind w:left="284" w:firstLine="720"/>
        <w:rPr>
          <w:lang w:val="en-US"/>
        </w:rPr>
      </w:pPr>
      <w:r>
        <w:t xml:space="preserve">Tiga indeks iklim eksternal diintegrasikan dengan penyesuaian temporal: QBO (bulanan) menggunakan </w:t>
      </w:r>
      <w:r>
        <w:rPr>
          <w:i/>
          <w:iCs/>
        </w:rPr>
        <w:t>forward fill</w:t>
      </w:r>
      <w:r>
        <w:t>, ENSO (bulanan) di-</w:t>
      </w:r>
      <w:r>
        <w:rPr>
          <w:i/>
          <w:iCs/>
        </w:rPr>
        <w:t>broadcast</w:t>
      </w:r>
      <w:r>
        <w:t xml:space="preserve"> ke dekad, dan MJO (harian) diagregasi menjadi rata-rata dekad (mencakup RMM, amplitudo, fase, dan fraksi aktif)</w:t>
      </w:r>
      <w:r>
        <w:rPr>
          <w:lang w:val="en-US"/>
        </w:rPr>
        <w:t>. Output tahapan ini adalah dataset dasarian.</w:t>
      </w:r>
    </w:p>
    <w:p w14:paraId="2053766D">
      <w:pPr>
        <w:pStyle w:val="44"/>
      </w:pPr>
      <w:r>
        <w:t>c) Transformasi Target dan Pembagian Data</w:t>
      </w:r>
    </w:p>
    <w:p w14:paraId="3CF2F7DC">
      <w:pPr>
        <w:spacing w:after="0"/>
        <w:ind w:left="284" w:firstLine="720"/>
        <w:rPr>
          <w:lang w:val="en-US"/>
        </w:rPr>
      </w:pPr>
      <w:r>
        <w:t>Setelah agregasi temporal, tahapan selanjutnya berfokus pada penyiapan variabel target</w:t>
      </w:r>
      <w:r>
        <w:rPr>
          <w:lang w:val="en-US"/>
        </w:rPr>
        <w:t>.</w:t>
      </w:r>
      <w:r>
        <w:t xml:space="preserve"> Mengingat data curah hujan memiliki distribusi yang sangat miring (</w:t>
      </w:r>
      <w:r>
        <w:rPr>
          <w:i/>
          <w:iCs/>
        </w:rPr>
        <w:t>skewed</w:t>
      </w:r>
      <w:r>
        <w:t>) dan varians yang tidak konstan, diterapkan teknik transformasi akar kuadrat untuk menstabilkan varians data</w:t>
      </w:r>
      <w:r>
        <w:rPr>
          <w:lang w:val="en-US"/>
        </w:rPr>
        <w:t xml:space="preserve"> sebagaimana </w:t>
      </w:r>
      <w:r>
        <w:t xml:space="preserve">didefinisikan </w:t>
      </w:r>
      <w:r>
        <w:rPr>
          <w:lang w:val="en-US"/>
        </w:rPr>
        <w:t>pada</w:t>
      </w:r>
      <w:r>
        <w:t xml:space="preserve"> persamaan</w:t>
      </w:r>
      <w:r>
        <w:rPr>
          <w:lang w:val="en-US"/>
        </w:rPr>
        <w:t xml:space="preserve"> </w:t>
      </w:r>
      <m:oMath>
        <m:d>
          <m:dPr>
            <m:ctrlPr>
              <w:rPr>
                <w:rFonts w:ascii="Cambria Math" w:hAnsi="Cambria Math"/>
                <w:i/>
              </w:rPr>
            </m:ctrlPr>
          </m:dPr>
          <m:e>
            <m:r>
              <m:rPr/>
              <w:rPr>
                <w:rFonts w:ascii="Cambria Math" w:hAnsi="Cambria Math"/>
              </w:rPr>
              <m:t>2.1</m:t>
            </m:r>
            <m:ctrlPr>
              <w:rPr>
                <w:rFonts w:ascii="Cambria Math" w:hAnsi="Cambria Math"/>
                <w:i/>
              </w:rPr>
            </m:ctrlPr>
          </m:e>
        </m:d>
      </m:oMath>
      <w:r>
        <w:rPr>
          <w:lang w:val="en-US"/>
        </w:rPr>
        <w:t>. Hasil transformasi ini disimpan sebagai dan digunakan sebagai target utama dalam proses pelatihan model. Selanjutnya, dataset dibagi menjadi pelatihan (</w:t>
      </w:r>
      <w:r>
        <w:rPr>
          <w:i/>
          <w:lang w:val="en-US"/>
        </w:rPr>
        <w:t>training</w:t>
      </w:r>
      <w:r>
        <w:rPr>
          <w:lang w:val="en-US"/>
        </w:rPr>
        <w:t>), validasi (</w:t>
      </w:r>
      <w:r>
        <w:rPr>
          <w:i/>
          <w:lang w:val="en-US"/>
        </w:rPr>
        <w:t>validation</w:t>
      </w:r>
      <w:r>
        <w:rPr>
          <w:lang w:val="en-US"/>
        </w:rPr>
        <w:t>), dan pengujian (</w:t>
      </w:r>
      <w:r>
        <w:rPr>
          <w:i/>
          <w:lang w:val="en-US"/>
        </w:rPr>
        <w:t>testing</w:t>
      </w:r>
      <w:r>
        <w:rPr>
          <w:lang w:val="en-US"/>
        </w:rPr>
        <w:t>). Pembagian data dilakukan berdasarkan rentang tanggal. Ini diterapkan secara ketat untuk mencegah kebocoran data (</w:t>
      </w:r>
      <w:r>
        <w:rPr>
          <w:i/>
          <w:lang w:val="en-US"/>
        </w:rPr>
        <w:t>data leakage</w:t>
      </w:r>
      <w:r>
        <w:rPr>
          <w:lang w:val="en-US"/>
        </w:rPr>
        <w:t xml:space="preserve">) atau bias "melihat masa depan", yang umum terjadi jika menggunakan pembagian acak pada data </w:t>
      </w:r>
      <w:r>
        <w:rPr>
          <w:i/>
          <w:lang w:val="en-US"/>
        </w:rPr>
        <w:t>time series</w:t>
      </w:r>
      <w:r>
        <w:rPr>
          <w:lang w:val="en-US"/>
        </w:rPr>
        <w:t xml:space="preserve"> </w:t>
      </w:r>
      <w:r>
        <w:rPr>
          <w:lang w:val="en-US"/>
        </w:rPr>
        <w:fldChar w:fldCharType="begin" w:fldLock="1"/>
      </w:r>
      <w:r>
        <w:rPr>
          <w:lang w:val="en-US"/>
        </w:rPr>
        <w:instrText xml:space="preserve">ADDIN CSL_CITATION {"citationItems":[{"id":"ITEM-1","itemData":{"DOI":"10.3390/electronics11223701","author":[{"dropping-particle":"","family":"Liu","given":"F","non-dropping-particle":"","parse-names":false,"suffix":""},{"dropping-particle":"","family":"Chen","given":"Lizhi","non-dropping-particle":"","parse-names":false,"suffix":""},{"dropping-particle":"","family":"Zheng","given":"Yuanfang","non-dropping-particle":"","parse-names":false,"suffix":""},{"dropping-particle":"","family":"Feng","given":"Yongxin","non-dropping-particle":"","parse-names":false,"suffix":""}],"container-title":"Electronics","id":"ITEM-1","issued":{"date-parts":[["2022"]]},"title":"A Prediction Method with Data Leakage Suppression for Time Series","type":"article-journal"},"uris":["http://www.mendeley.com/documents/?uuid=4c90afa8-48d7-4f89-a060-e858a83dce1a"]}],"mendeley":{"formattedCitation":"(Liu dkk., 2022)","manualFormatting":"(Liu dkk., 2022)","plainTextFormattedCitation":"(Liu dkk., 2022)","previouslyFormattedCitation":"(Liu &lt;i&gt;et al.&lt;/i&gt;, 2022)"},"properties":{"noteIndex":0},"schema":"https://github.com/citation-style-language/schema/raw/master/csl-citation.json"}</w:instrText>
      </w:r>
      <w:r>
        <w:rPr>
          <w:lang w:val="en-US"/>
        </w:rPr>
        <w:fldChar w:fldCharType="separate"/>
      </w:r>
      <w:r>
        <w:rPr>
          <w:lang w:val="en-US"/>
        </w:rPr>
        <w:t>(Liu dkk., 2022)</w:t>
      </w:r>
      <w:r>
        <w:rPr>
          <w:lang w:val="en-US"/>
        </w:rPr>
        <w:fldChar w:fldCharType="end"/>
      </w:r>
      <w:r>
        <w:rPr>
          <w:lang w:val="en-US"/>
        </w:rPr>
        <w:t>.</w:t>
      </w:r>
      <w:r>
        <w:t xml:space="preserve"> Rincian</w:t>
      </w:r>
      <w:r>
        <w:rPr>
          <w:lang w:val="en-US"/>
        </w:rPr>
        <w:t xml:space="preserve">nya dalam </w:t>
      </w:r>
      <w:r>
        <w:rPr>
          <w:bCs/>
        </w:rPr>
        <w:t>Tabel 3.</w:t>
      </w:r>
      <w:r>
        <w:rPr>
          <w:bCs/>
          <w:lang w:val="en-US"/>
        </w:rPr>
        <w:t xml:space="preserve"> 5</w:t>
      </w:r>
      <w:r>
        <w:t>.</w:t>
      </w:r>
    </w:p>
    <w:p w14:paraId="501B789B">
      <w:pPr>
        <w:pStyle w:val="11"/>
        <w:keepNext/>
        <w:jc w:val="center"/>
        <w:rPr>
          <w:b/>
          <w:i w:val="0"/>
          <w:color w:val="auto"/>
          <w:sz w:val="24"/>
        </w:rPr>
      </w:pPr>
      <w:bookmarkStart w:id="57" w:name="_Toc235035445"/>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5</w:t>
      </w:r>
      <w:r>
        <w:rPr>
          <w:b/>
          <w:i w:val="0"/>
          <w:color w:val="auto"/>
          <w:sz w:val="24"/>
        </w:rPr>
        <w:fldChar w:fldCharType="end"/>
      </w:r>
      <w:r>
        <w:rPr>
          <w:b/>
          <w:i w:val="0"/>
          <w:color w:val="auto"/>
          <w:sz w:val="24"/>
        </w:rPr>
        <w:t xml:space="preserve"> Pembagian Rentang Waktu Dataset</w:t>
      </w:r>
      <w:bookmarkEnd w:id="57"/>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842"/>
        <w:gridCol w:w="1843"/>
        <w:gridCol w:w="2141"/>
        <w:gridCol w:w="1757"/>
      </w:tblGrid>
      <w:tr w14:paraId="1163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70" w:type="dxa"/>
            <w:vAlign w:val="center"/>
          </w:tcPr>
          <w:p w14:paraId="48EEA94D">
            <w:pPr>
              <w:spacing w:after="0" w:line="240" w:lineRule="auto"/>
              <w:jc w:val="center"/>
              <w:rPr>
                <w:rFonts w:eastAsia="Times New Roman" w:cs="Times New Roman"/>
                <w:b/>
                <w:bCs/>
                <w:color w:val="1F1F1F"/>
                <w:szCs w:val="24"/>
                <w:lang w:val="en-US"/>
              </w:rPr>
            </w:pPr>
            <w:r>
              <w:rPr>
                <w:rFonts w:eastAsia="Times New Roman" w:cs="Times New Roman"/>
                <w:b/>
                <w:bCs/>
                <w:color w:val="1F1F1F"/>
                <w:szCs w:val="24"/>
                <w:lang w:val="en-US"/>
              </w:rPr>
              <w:t>No.</w:t>
            </w:r>
          </w:p>
        </w:tc>
        <w:tc>
          <w:tcPr>
            <w:tcW w:w="1842" w:type="dxa"/>
            <w:vAlign w:val="center"/>
          </w:tcPr>
          <w:p w14:paraId="06E1C465">
            <w:pPr>
              <w:spacing w:after="0" w:line="240" w:lineRule="auto"/>
              <w:jc w:val="center"/>
              <w:rPr>
                <w:rFonts w:eastAsia="Times New Roman" w:cs="Times New Roman"/>
                <w:color w:val="1F1F1F"/>
                <w:szCs w:val="24"/>
              </w:rPr>
            </w:pPr>
            <w:r>
              <w:rPr>
                <w:rFonts w:eastAsia="Times New Roman" w:cs="Times New Roman"/>
                <w:b/>
                <w:bCs/>
                <w:color w:val="1F1F1F"/>
                <w:szCs w:val="24"/>
              </w:rPr>
              <w:t>Himpunan Data</w:t>
            </w:r>
          </w:p>
        </w:tc>
        <w:tc>
          <w:tcPr>
            <w:tcW w:w="1843" w:type="dxa"/>
            <w:vAlign w:val="center"/>
          </w:tcPr>
          <w:p w14:paraId="1E380CDE">
            <w:pPr>
              <w:spacing w:after="0" w:line="240" w:lineRule="auto"/>
              <w:jc w:val="center"/>
              <w:rPr>
                <w:rFonts w:eastAsia="Times New Roman" w:cs="Times New Roman"/>
                <w:color w:val="1F1F1F"/>
                <w:szCs w:val="24"/>
              </w:rPr>
            </w:pPr>
            <w:r>
              <w:rPr>
                <w:rFonts w:eastAsia="Times New Roman" w:cs="Times New Roman"/>
                <w:b/>
                <w:bCs/>
                <w:color w:val="1F1F1F"/>
                <w:szCs w:val="24"/>
              </w:rPr>
              <w:t>Tanggal Mulai</w:t>
            </w:r>
          </w:p>
        </w:tc>
        <w:tc>
          <w:tcPr>
            <w:tcW w:w="2141" w:type="dxa"/>
            <w:vAlign w:val="center"/>
          </w:tcPr>
          <w:p w14:paraId="675260A3">
            <w:pPr>
              <w:spacing w:after="0" w:line="240" w:lineRule="auto"/>
              <w:jc w:val="center"/>
              <w:rPr>
                <w:rFonts w:eastAsia="Times New Roman" w:cs="Times New Roman"/>
                <w:color w:val="1F1F1F"/>
                <w:szCs w:val="24"/>
              </w:rPr>
            </w:pPr>
            <w:r>
              <w:rPr>
                <w:rFonts w:eastAsia="Times New Roman" w:cs="Times New Roman"/>
                <w:b/>
                <w:bCs/>
                <w:color w:val="1F1F1F"/>
                <w:szCs w:val="24"/>
              </w:rPr>
              <w:t>Tanggal Akhir</w:t>
            </w:r>
          </w:p>
        </w:tc>
        <w:tc>
          <w:tcPr>
            <w:tcW w:w="0" w:type="auto"/>
            <w:vAlign w:val="center"/>
          </w:tcPr>
          <w:p w14:paraId="5E522BB3">
            <w:pPr>
              <w:spacing w:after="0" w:line="240" w:lineRule="auto"/>
              <w:jc w:val="center"/>
              <w:rPr>
                <w:rFonts w:eastAsia="Times New Roman" w:cs="Times New Roman"/>
                <w:color w:val="1F1F1F"/>
                <w:szCs w:val="24"/>
              </w:rPr>
            </w:pPr>
            <w:r>
              <w:rPr>
                <w:rFonts w:eastAsia="Times New Roman" w:cs="Times New Roman"/>
                <w:b/>
                <w:bCs/>
                <w:color w:val="1F1F1F"/>
                <w:szCs w:val="24"/>
              </w:rPr>
              <w:t>Durasi (Tahun)</w:t>
            </w:r>
          </w:p>
        </w:tc>
      </w:tr>
      <w:tr w14:paraId="653F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0" w:type="dxa"/>
            <w:vAlign w:val="center"/>
          </w:tcPr>
          <w:p w14:paraId="29AA3217">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1.</w:t>
            </w:r>
          </w:p>
        </w:tc>
        <w:tc>
          <w:tcPr>
            <w:tcW w:w="1842" w:type="dxa"/>
            <w:vAlign w:val="center"/>
          </w:tcPr>
          <w:p w14:paraId="01505B73">
            <w:pPr>
              <w:spacing w:after="0" w:line="240" w:lineRule="auto"/>
              <w:jc w:val="center"/>
              <w:rPr>
                <w:rFonts w:eastAsia="Times New Roman" w:cs="Times New Roman"/>
                <w:color w:val="1F1F1F"/>
                <w:szCs w:val="24"/>
              </w:rPr>
            </w:pPr>
            <w:r>
              <w:rPr>
                <w:rFonts w:eastAsia="Times New Roman" w:cs="Times New Roman"/>
                <w:i/>
                <w:iCs/>
                <w:color w:val="1F1F1F"/>
                <w:szCs w:val="24"/>
              </w:rPr>
              <w:t>Training</w:t>
            </w:r>
          </w:p>
        </w:tc>
        <w:tc>
          <w:tcPr>
            <w:tcW w:w="1843" w:type="dxa"/>
            <w:vAlign w:val="center"/>
          </w:tcPr>
          <w:p w14:paraId="02D0FC02">
            <w:pPr>
              <w:spacing w:after="0" w:line="240" w:lineRule="auto"/>
              <w:jc w:val="center"/>
              <w:rPr>
                <w:rFonts w:eastAsia="Times New Roman" w:cs="Times New Roman"/>
                <w:color w:val="1F1F1F"/>
                <w:szCs w:val="24"/>
              </w:rPr>
            </w:pPr>
            <w:r>
              <w:rPr>
                <w:rFonts w:eastAsia="Times New Roman" w:cs="Times New Roman"/>
                <w:color w:val="1F1F1F"/>
                <w:szCs w:val="24"/>
              </w:rPr>
              <w:t>1 Januari 1990</w:t>
            </w:r>
          </w:p>
        </w:tc>
        <w:tc>
          <w:tcPr>
            <w:tcW w:w="2141" w:type="dxa"/>
            <w:vAlign w:val="center"/>
          </w:tcPr>
          <w:p w14:paraId="2660992B">
            <w:pPr>
              <w:spacing w:after="0" w:line="240" w:lineRule="auto"/>
              <w:jc w:val="center"/>
              <w:rPr>
                <w:rFonts w:eastAsia="Times New Roman" w:cs="Times New Roman"/>
                <w:color w:val="1F1F1F"/>
                <w:szCs w:val="24"/>
              </w:rPr>
            </w:pPr>
            <w:r>
              <w:rPr>
                <w:rFonts w:eastAsia="Times New Roman" w:cs="Times New Roman"/>
                <w:color w:val="1F1F1F"/>
                <w:szCs w:val="24"/>
              </w:rPr>
              <w:t>31 Desember 2018</w:t>
            </w:r>
          </w:p>
        </w:tc>
        <w:tc>
          <w:tcPr>
            <w:tcW w:w="0" w:type="auto"/>
            <w:vAlign w:val="center"/>
          </w:tcPr>
          <w:p w14:paraId="62E0CDB0">
            <w:pPr>
              <w:spacing w:after="0" w:line="240" w:lineRule="auto"/>
              <w:jc w:val="center"/>
              <w:rPr>
                <w:rFonts w:eastAsia="Times New Roman" w:cs="Times New Roman"/>
                <w:color w:val="1F1F1F"/>
                <w:szCs w:val="24"/>
              </w:rPr>
            </w:pPr>
            <w:r>
              <w:rPr>
                <w:rFonts w:eastAsia="Times New Roman" w:cs="Times New Roman"/>
                <w:color w:val="1F1F1F"/>
                <w:szCs w:val="24"/>
              </w:rPr>
              <w:t>~29 Tahun</w:t>
            </w:r>
          </w:p>
        </w:tc>
      </w:tr>
      <w:tr w14:paraId="5423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70" w:type="dxa"/>
            <w:vAlign w:val="center"/>
          </w:tcPr>
          <w:p w14:paraId="58CCD1A7">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2.</w:t>
            </w:r>
          </w:p>
        </w:tc>
        <w:tc>
          <w:tcPr>
            <w:tcW w:w="1842" w:type="dxa"/>
            <w:vAlign w:val="center"/>
          </w:tcPr>
          <w:p w14:paraId="4493C69D">
            <w:pPr>
              <w:spacing w:after="0" w:line="240" w:lineRule="auto"/>
              <w:jc w:val="center"/>
              <w:rPr>
                <w:rFonts w:eastAsia="Times New Roman" w:cs="Times New Roman"/>
                <w:color w:val="1F1F1F"/>
                <w:szCs w:val="24"/>
              </w:rPr>
            </w:pPr>
            <w:r>
              <w:rPr>
                <w:rFonts w:eastAsia="Times New Roman" w:cs="Times New Roman"/>
                <w:i/>
                <w:iCs/>
                <w:color w:val="1F1F1F"/>
                <w:szCs w:val="24"/>
              </w:rPr>
              <w:t>Validation</w:t>
            </w:r>
          </w:p>
        </w:tc>
        <w:tc>
          <w:tcPr>
            <w:tcW w:w="1843" w:type="dxa"/>
            <w:vAlign w:val="center"/>
          </w:tcPr>
          <w:p w14:paraId="743751CB">
            <w:pPr>
              <w:spacing w:after="0" w:line="240" w:lineRule="auto"/>
              <w:jc w:val="center"/>
              <w:rPr>
                <w:rFonts w:eastAsia="Times New Roman" w:cs="Times New Roman"/>
                <w:color w:val="1F1F1F"/>
                <w:szCs w:val="24"/>
              </w:rPr>
            </w:pPr>
            <w:r>
              <w:rPr>
                <w:rFonts w:eastAsia="Times New Roman" w:cs="Times New Roman"/>
                <w:color w:val="1F1F1F"/>
                <w:szCs w:val="24"/>
              </w:rPr>
              <w:t>1 Januari 2019</w:t>
            </w:r>
          </w:p>
        </w:tc>
        <w:tc>
          <w:tcPr>
            <w:tcW w:w="2141" w:type="dxa"/>
            <w:vAlign w:val="center"/>
          </w:tcPr>
          <w:p w14:paraId="0949D402">
            <w:pPr>
              <w:spacing w:after="0" w:line="240" w:lineRule="auto"/>
              <w:jc w:val="center"/>
              <w:rPr>
                <w:rFonts w:eastAsia="Times New Roman" w:cs="Times New Roman"/>
                <w:color w:val="1F1F1F"/>
                <w:szCs w:val="24"/>
              </w:rPr>
            </w:pPr>
            <w:r>
              <w:rPr>
                <w:rFonts w:eastAsia="Times New Roman" w:cs="Times New Roman"/>
                <w:color w:val="1F1F1F"/>
                <w:szCs w:val="24"/>
              </w:rPr>
              <w:t>31 Desember 2021</w:t>
            </w:r>
          </w:p>
        </w:tc>
        <w:tc>
          <w:tcPr>
            <w:tcW w:w="0" w:type="auto"/>
            <w:vAlign w:val="center"/>
          </w:tcPr>
          <w:p w14:paraId="7056FC8F">
            <w:pPr>
              <w:spacing w:after="0" w:line="240" w:lineRule="auto"/>
              <w:jc w:val="center"/>
              <w:rPr>
                <w:rFonts w:eastAsia="Times New Roman" w:cs="Times New Roman"/>
                <w:color w:val="1F1F1F"/>
                <w:szCs w:val="24"/>
              </w:rPr>
            </w:pPr>
            <w:r>
              <w:rPr>
                <w:rFonts w:eastAsia="Times New Roman" w:cs="Times New Roman"/>
                <w:color w:val="1F1F1F"/>
                <w:szCs w:val="24"/>
              </w:rPr>
              <w:t>~3 Tahun</w:t>
            </w:r>
          </w:p>
        </w:tc>
      </w:tr>
      <w:tr w14:paraId="77B9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70" w:type="dxa"/>
            <w:vAlign w:val="center"/>
          </w:tcPr>
          <w:p w14:paraId="7EFF0CDA">
            <w:pPr>
              <w:spacing w:after="0" w:line="240" w:lineRule="auto"/>
              <w:jc w:val="center"/>
              <w:rPr>
                <w:rFonts w:eastAsia="Times New Roman" w:cs="Times New Roman"/>
                <w:iCs/>
                <w:color w:val="1F1F1F"/>
                <w:szCs w:val="24"/>
                <w:lang w:val="en-US"/>
              </w:rPr>
            </w:pPr>
            <w:r>
              <w:rPr>
                <w:rFonts w:eastAsia="Times New Roman" w:cs="Times New Roman"/>
                <w:iCs/>
                <w:color w:val="1F1F1F"/>
                <w:szCs w:val="24"/>
                <w:lang w:val="en-US"/>
              </w:rPr>
              <w:t>3.</w:t>
            </w:r>
          </w:p>
        </w:tc>
        <w:tc>
          <w:tcPr>
            <w:tcW w:w="1842" w:type="dxa"/>
            <w:vAlign w:val="center"/>
          </w:tcPr>
          <w:p w14:paraId="199CFBF0">
            <w:pPr>
              <w:spacing w:after="0" w:line="240" w:lineRule="auto"/>
              <w:jc w:val="center"/>
              <w:rPr>
                <w:rFonts w:eastAsia="Times New Roman" w:cs="Times New Roman"/>
                <w:color w:val="1F1F1F"/>
                <w:szCs w:val="24"/>
              </w:rPr>
            </w:pPr>
            <w:r>
              <w:rPr>
                <w:rFonts w:eastAsia="Times New Roman" w:cs="Times New Roman"/>
                <w:i/>
                <w:iCs/>
                <w:color w:val="1F1F1F"/>
                <w:szCs w:val="24"/>
              </w:rPr>
              <w:t>Testing</w:t>
            </w:r>
          </w:p>
        </w:tc>
        <w:tc>
          <w:tcPr>
            <w:tcW w:w="1843" w:type="dxa"/>
            <w:vAlign w:val="center"/>
          </w:tcPr>
          <w:p w14:paraId="3679D9AA">
            <w:pPr>
              <w:spacing w:after="0" w:line="240" w:lineRule="auto"/>
              <w:jc w:val="center"/>
              <w:rPr>
                <w:rFonts w:eastAsia="Times New Roman" w:cs="Times New Roman"/>
                <w:color w:val="1F1F1F"/>
                <w:szCs w:val="24"/>
              </w:rPr>
            </w:pPr>
            <w:r>
              <w:rPr>
                <w:rFonts w:eastAsia="Times New Roman" w:cs="Times New Roman"/>
                <w:color w:val="1F1F1F"/>
                <w:szCs w:val="24"/>
              </w:rPr>
              <w:t>1 Januari 2022</w:t>
            </w:r>
          </w:p>
        </w:tc>
        <w:tc>
          <w:tcPr>
            <w:tcW w:w="2141" w:type="dxa"/>
            <w:vAlign w:val="center"/>
          </w:tcPr>
          <w:p w14:paraId="7BA0206D">
            <w:pPr>
              <w:spacing w:after="0" w:line="240" w:lineRule="auto"/>
              <w:jc w:val="center"/>
              <w:rPr>
                <w:rFonts w:eastAsia="Times New Roman" w:cs="Times New Roman"/>
                <w:color w:val="1F1F1F"/>
                <w:szCs w:val="24"/>
              </w:rPr>
            </w:pPr>
            <w:r>
              <w:rPr>
                <w:rFonts w:eastAsia="Times New Roman" w:cs="Times New Roman"/>
                <w:color w:val="1F1F1F"/>
                <w:szCs w:val="24"/>
              </w:rPr>
              <w:t>31 Desember 2025</w:t>
            </w:r>
          </w:p>
        </w:tc>
        <w:tc>
          <w:tcPr>
            <w:tcW w:w="0" w:type="auto"/>
            <w:vAlign w:val="center"/>
          </w:tcPr>
          <w:p w14:paraId="4908F55A">
            <w:pPr>
              <w:spacing w:after="0" w:line="240" w:lineRule="auto"/>
              <w:jc w:val="center"/>
              <w:rPr>
                <w:rFonts w:eastAsia="Times New Roman" w:cs="Times New Roman"/>
                <w:color w:val="1F1F1F"/>
                <w:szCs w:val="24"/>
              </w:rPr>
            </w:pPr>
            <w:r>
              <w:rPr>
                <w:rFonts w:eastAsia="Times New Roman" w:cs="Times New Roman"/>
                <w:color w:val="1F1F1F"/>
                <w:szCs w:val="24"/>
                <w:lang w:val="en-US"/>
              </w:rPr>
              <w:t xml:space="preserve">~4 </w:t>
            </w:r>
            <w:r>
              <w:rPr>
                <w:rFonts w:eastAsia="Times New Roman" w:cs="Times New Roman"/>
                <w:color w:val="1F1F1F"/>
                <w:szCs w:val="24"/>
              </w:rPr>
              <w:t>Tahun</w:t>
            </w:r>
          </w:p>
        </w:tc>
      </w:tr>
    </w:tbl>
    <w:p w14:paraId="1AA5485C">
      <w:pPr>
        <w:spacing w:after="0"/>
      </w:pPr>
    </w:p>
    <w:p w14:paraId="51D5B947">
      <w:pPr>
        <w:pStyle w:val="44"/>
      </w:pPr>
      <w:r>
        <w:t>d) Fitur Musiman, Indeks Iklim, dan Lag</w:t>
      </w:r>
    </w:p>
    <w:p w14:paraId="0F31BA0E">
      <w:pPr>
        <w:spacing w:after="0"/>
        <w:ind w:left="284" w:firstLine="720"/>
        <w:rPr>
          <w:lang w:val="en-US"/>
        </w:rPr>
      </w:pPr>
      <w:r>
        <w:t>Guna memodelkan ketergantungan temporal antara kondisi masa lalu dan target prediksi saat ini, sistem menerapkan mekanisme penambahan fitur lag (jeda waktu)</w:t>
      </w:r>
      <w:r>
        <w:rPr>
          <w:lang w:val="en-US"/>
        </w:rPr>
        <w:t>. S</w:t>
      </w:r>
      <w:r>
        <w:t xml:space="preserve">ecara teknis, fitur </w:t>
      </w:r>
      <w:r>
        <w:rPr>
          <w:i/>
          <w:iCs/>
        </w:rPr>
        <w:t>lag</w:t>
      </w:r>
      <w:r>
        <w:t xml:space="preserve"> </w:t>
      </w:r>
      <w:r>
        <w:rPr>
          <w:lang w:val="en-US"/>
        </w:rPr>
        <w:t>diaktifkan</w:t>
      </w:r>
      <w:r>
        <w:t xml:space="preserve"> melalui operasi pergeseran</w:t>
      </w:r>
      <w:r>
        <w:rPr>
          <w:lang w:val="en-US"/>
        </w:rPr>
        <w:t xml:space="preserve"> </w:t>
      </w:r>
      <w:r>
        <w:t xml:space="preserve">pada </w:t>
      </w:r>
      <w:r>
        <w:rPr>
          <w:i/>
        </w:rPr>
        <w:t>dataframe</w:t>
      </w:r>
      <w:r>
        <w:t>. Baris awal data yang mengandung nilai kosong (</w:t>
      </w:r>
      <w:r>
        <w:rPr>
          <w:i/>
          <w:iCs/>
        </w:rPr>
        <w:t>NaN</w:t>
      </w:r>
      <w:r>
        <w:t xml:space="preserve">) akibat operasi pergeseran ini kemudian dihapus untuk menjaga validitas input model. </w:t>
      </w:r>
    </w:p>
    <w:p w14:paraId="01BB55B9">
      <w:pPr>
        <w:pStyle w:val="44"/>
      </w:pPr>
      <w:r>
        <w:t xml:space="preserve">e) </w:t>
      </w:r>
      <w:r>
        <w:rPr>
          <w:i/>
        </w:rPr>
        <w:t>Scaling</w:t>
      </w:r>
    </w:p>
    <w:p w14:paraId="0AD45B40">
      <w:pPr>
        <w:spacing w:after="0"/>
        <w:ind w:left="284" w:firstLine="720"/>
        <w:rPr>
          <w:rFonts w:cs="Times New Roman"/>
        </w:rPr>
      </w:pPr>
      <w:r>
        <w:rPr>
          <w:lang w:val="en-US"/>
        </w:rPr>
        <w:t xml:space="preserve">Tahapan selanjutnya </w:t>
      </w:r>
      <w:r>
        <w:t>normalisasi fitur (</w:t>
      </w:r>
      <w:r>
        <w:rPr>
          <w:i/>
          <w:iCs/>
        </w:rPr>
        <w:t>scaling</w:t>
      </w:r>
      <w:r>
        <w:t>). Proses ini diawali secara otomatis memilah variabel yang memerlukan normalisasi. Prioritas seleksi diberikan pada fitur musiman serta variabel numerik lainnya, termasuk indeks iklim (QBO, MJO</w:t>
      </w:r>
      <w:r>
        <w:rPr>
          <w:lang w:val="en-US"/>
        </w:rPr>
        <w:t>, dan ENSO</w:t>
      </w:r>
      <w:r>
        <w:t>), variabel meteorologi</w:t>
      </w:r>
      <w:r>
        <w:rPr>
          <w:lang w:val="en-US"/>
        </w:rPr>
        <w:t xml:space="preserve">, </w:t>
      </w:r>
      <w:r>
        <w:t xml:space="preserve">dan seluruh fitur </w:t>
      </w:r>
      <w:r>
        <w:rPr>
          <w:i/>
          <w:iCs/>
        </w:rPr>
        <w:t>lag</w:t>
      </w:r>
      <w:r>
        <w:t>. Variabel yang bersifat non-numerik atau merupakan target prediksi asli</w:t>
      </w:r>
      <w:r>
        <w:rPr>
          <w:lang w:val="en-US"/>
        </w:rPr>
        <w:t xml:space="preserve"> </w:t>
      </w:r>
      <w:r>
        <w:t>dikecualikan dari proses ini.</w:t>
      </w:r>
      <w:r>
        <w:rPr>
          <w:rFonts w:cs="Times New Roman"/>
          <w:lang w:val="en-US"/>
        </w:rPr>
        <w:t xml:space="preserve"> </w:t>
      </w:r>
      <w:r>
        <w:t xml:space="preserve">Mekanisme normalisasi </w:t>
      </w:r>
      <w:r>
        <w:rPr>
          <w:lang w:val="en-US"/>
        </w:rPr>
        <w:t>menggunakan</w:t>
      </w:r>
      <w:r>
        <w:t xml:space="preserve"> metode </w:t>
      </w:r>
      <w:r>
        <w:rPr>
          <w:i/>
          <w:iCs/>
        </w:rPr>
        <w:t>StandardScale</w:t>
      </w:r>
      <w:r>
        <w:rPr>
          <w:i/>
          <w:iCs/>
          <w:lang w:val="en-US"/>
        </w:rPr>
        <w:t>r</w:t>
      </w:r>
      <w:r>
        <w:t xml:space="preserve">. </w:t>
      </w:r>
    </w:p>
    <w:p w14:paraId="0FBD4CD8">
      <w:pPr>
        <w:pStyle w:val="44"/>
      </w:pPr>
      <w:r>
        <w:t xml:space="preserve">f) Mode </w:t>
      </w:r>
      <w:r>
        <w:rPr>
          <w:i/>
        </w:rPr>
        <w:t>Single-Site, Multi-Site</w:t>
      </w:r>
      <w:r>
        <w:t>, dan Artefak Gabungan</w:t>
      </w:r>
    </w:p>
    <w:p w14:paraId="6C39B37A">
      <w:pPr>
        <w:spacing w:after="0"/>
        <w:ind w:left="284" w:firstLine="720"/>
        <w:rPr>
          <w:lang w:val="en-US"/>
        </w:rPr>
      </w:pPr>
      <w:r>
        <w:t xml:space="preserve">Sistem </w:t>
      </w:r>
      <w:r>
        <w:rPr>
          <w:i/>
          <w:iCs/>
        </w:rPr>
        <w:t>preprocessing</w:t>
      </w:r>
      <w:r>
        <w:t xml:space="preserve"> dirancang dengan arsitektur fleksibel yang mendukung dua mode operasional utama, yaitu </w:t>
      </w:r>
      <w:r>
        <w:rPr>
          <w:i/>
          <w:iCs/>
        </w:rPr>
        <w:t>single-site</w:t>
      </w:r>
      <w:r>
        <w:t xml:space="preserve"> dan </w:t>
      </w:r>
      <w:r>
        <w:rPr>
          <w:i/>
          <w:iCs/>
        </w:rPr>
        <w:t>multi-site</w:t>
      </w:r>
      <w:r>
        <w:rPr>
          <w:lang w:val="en-US"/>
        </w:rPr>
        <w:t xml:space="preserve">. </w:t>
      </w:r>
      <w:r>
        <w:t>Luaran dari mode ini adalah berkas terpisah</w:t>
      </w:r>
      <w:r>
        <w:rPr>
          <w:lang w:val="en-US"/>
        </w:rPr>
        <w:t xml:space="preserve">. </w:t>
      </w:r>
      <w:r>
        <w:t xml:space="preserve">Sebaliknya, mode </w:t>
      </w:r>
      <w:r>
        <w:rPr>
          <w:i/>
          <w:iCs/>
          <w:lang w:val="en-US"/>
        </w:rPr>
        <w:t>multi</w:t>
      </w:r>
      <w:r>
        <w:rPr>
          <w:i/>
          <w:iCs/>
        </w:rPr>
        <w:t>-site</w:t>
      </w:r>
      <w:r>
        <w:t xml:space="preserve"> memungkinkan pemrosesan paralel terhadap seluruh lokasi aktif yang terdaftar dalam konfigurasi, mendukung skalabilitas untuk pelatihan model yang bersifat </w:t>
      </w:r>
      <w:r>
        <w:rPr>
          <w:lang w:val="en-US"/>
        </w:rPr>
        <w:t xml:space="preserve">global. </w:t>
      </w:r>
      <w:r>
        <w:t xml:space="preserve">Dalam mengonsolidasikan hasil pemrosesan dari berbagai lokasi, </w:t>
      </w:r>
      <w:r>
        <w:rPr>
          <w:lang w:val="en-US"/>
        </w:rPr>
        <w:t xml:space="preserve">selanjutnya </w:t>
      </w:r>
      <w:r>
        <w:t xml:space="preserve">mengagregasi berkas CSV parsial dari setiap lokasi menjadi satu kesatuan dataset per </w:t>
      </w:r>
      <w:r>
        <w:rPr>
          <w:i/>
          <w:iCs/>
        </w:rPr>
        <w:t>split</w:t>
      </w:r>
      <w:r>
        <w:t xml:space="preserve">. Atribut ini berfungsi sebagai input bagi modul </w:t>
      </w:r>
      <w:r>
        <w:rPr>
          <w:i/>
          <w:iCs/>
        </w:rPr>
        <w:t>Site Embedding</w:t>
      </w:r>
      <w:r>
        <w:t xml:space="preserve"> pada model </w:t>
      </w:r>
      <w:r>
        <w:rPr>
          <w:i/>
        </w:rPr>
        <w:t>Transformer</w:t>
      </w:r>
      <w:r>
        <w:t xml:space="preserve"> untuk mempelajari karakteristik spasial unik tiap stasiun</w:t>
      </w:r>
      <w:r>
        <w:rPr>
          <w:lang w:val="en-US"/>
        </w:rPr>
        <w:t>.</w:t>
      </w:r>
    </w:p>
    <w:p w14:paraId="7CA7490A">
      <w:pPr>
        <w:pStyle w:val="44"/>
      </w:pPr>
      <w:r>
        <w:t>g) Strategi Seleksi Fitur</w:t>
      </w:r>
    </w:p>
    <w:p w14:paraId="38A9F4A7">
      <w:pPr>
        <w:spacing w:after="0"/>
        <w:ind w:left="284" w:firstLine="720"/>
        <w:rPr>
          <w:lang w:val="zh-CN"/>
        </w:rPr>
      </w:pPr>
      <w:r>
        <w:rPr>
          <w:lang w:val="zh-CN"/>
        </w:rPr>
        <w:t xml:space="preserve">Tahapan akhir dalam alur </w:t>
      </w:r>
      <w:r>
        <w:rPr>
          <w:i/>
          <w:lang w:val="zh-CN"/>
        </w:rPr>
        <w:t>preprocessing</w:t>
      </w:r>
      <w:r>
        <w:rPr>
          <w:lang w:val="zh-CN"/>
        </w:rPr>
        <w:t xml:space="preserve"> data adalah seleksi fitur menggunakan mRMR. Penelitian ini menguji tiga skenario jumlah fitur berdasarkan peringkat mRMR, yakni skenario Ketat (8 fitur terbaik), lalu skenario optimal (12 fitur terbaik), dan skenario penuh (semua fitur) </w:t>
      </w:r>
      <w:r>
        <w:rPr>
          <w:lang w:val="zh-CN"/>
        </w:rPr>
        <w:fldChar w:fldCharType="begin" w:fldLock="1"/>
      </w:r>
      <w:r>
        <w:rPr>
          <w:lang w:val="zh-CN"/>
        </w:rPr>
        <w:instrText xml:space="preserve">ADDIN CSL_CITATION {"citationItems":[{"id":"ITEM-1","itemData":{"DOI":"10.1088/2057-1976/ad0f3e","author":[{"dropping-particle":"","family":"Abbaspour","given":"Samira","non-dropping-particle":"","parse-names":false,"suffix":""},{"dropping-particle":"","family":"Barahman","given":"Maedeh","non-dropping-particle":"","parse-names":false,"suffix":""},{"dropping-particle":"","family":"Abdollahi","given":"Hamid","non-dropping-particle":"","parse-names":false,"suffix":""},{"dropping-particle":"","family":"Arabalibeik","given":"Hossein","non-dropping-particle":"","parse-names":false,"suffix":""},{"dropping-particle":"","family":"Hajainfar","given":"Ghasem","non-dropping-particle":"","parse-names":false,"suffix":""},{"dropping-particle":"","family":"Babaei","given":"Mohammadreza","non-dropping-particle":"","parse-names":false,"suffix":""},{"dropping-particle":"","family":"Iraji","given":"Hamed","non-dropping-particle":"","parse-names":false,"suffix":""},{"dropping-particle":"","family":"Barzegartahamtan","given":"Mohammadreza","non-dropping-particle":"","parse-names":false,"suffix":""},{"dropping-particle":"","family":"Ay","given":"Mohammad R","non-dropping-particle":"","parse-names":false,"suffix":""},{"dropping-particle":"","family":"Mahdavi","given":"Seied R","non-dropping-particle":"","parse-names":false,"suffix":""}],"container-title":"Biomedical Physics &amp; Engineering Express","id":"ITEM-1","issue":"1","issued":{"date-parts":[["2023"]]},"page":"15017","title":"Multimodality Radiomics Prediction of Radiotherapy-Induced the Early Proctitis and Cystitis in Rectal Cancer Patients: A Machine Learning Study","type":"article-journal","volume":"10"},"uris":["http://www.mendeley.com/documents/?uuid=a1f3e7ae-3cdd-4699-b58a-df4b78c9cdb0"]}],"mendeley":{"formattedCitation":"(Abbaspour dkk., 2023)","manualFormatting":"(Abbaspour dkk., 2023)","plainTextFormattedCitation":"(Abbaspour dkk., 2023)","previouslyFormattedCitation":"(Abbaspour &lt;i&gt;et al.&lt;/i&gt;, 2023)"},"properties":{"noteIndex":0},"schema":"https://github.com/citation-style-language/schema/raw/master/csl-citation.json"}</w:instrText>
      </w:r>
      <w:r>
        <w:rPr>
          <w:lang w:val="zh-CN"/>
        </w:rPr>
        <w:fldChar w:fldCharType="separate"/>
      </w:r>
      <w:r>
        <w:rPr>
          <w:lang w:val="zh-CN"/>
        </w:rPr>
        <w:t>(Abbaspour dkk., 2023)</w:t>
      </w:r>
      <w:r>
        <w:rPr>
          <w:lang w:val="zh-CN"/>
        </w:rPr>
        <w:fldChar w:fldCharType="end"/>
      </w:r>
      <w:r>
        <w:rPr>
          <w:lang w:val="zh-CN"/>
        </w:rPr>
        <w:t xml:space="preserve">. </w:t>
      </w:r>
      <w:r>
        <w:rPr>
          <w:lang w:val="en-US"/>
        </w:rPr>
        <w:t>Jika</w:t>
      </w:r>
      <w:r>
        <w:t xml:space="preserve"> </w:t>
      </w:r>
      <w:r>
        <w:rPr>
          <w:lang w:val="en-US"/>
        </w:rPr>
        <w:t>model</w:t>
      </w:r>
      <w:r>
        <w:t xml:space="preserve"> </w:t>
      </w:r>
      <w:r>
        <w:rPr>
          <w:lang w:val="en-US"/>
        </w:rPr>
        <w:t>dilatih</w:t>
      </w:r>
      <w:r>
        <w:t xml:space="preserve"> secara </w:t>
      </w:r>
      <w:r>
        <w:rPr>
          <w:i/>
          <w:iCs/>
        </w:rPr>
        <w:t>multi-site</w:t>
      </w:r>
      <w:r>
        <w:t xml:space="preserve">, seleksi fitur dilakukan terlebih dahulu pada masing-masing lokasi secara lokal untuk menangkap karakteristik unik tiap wilayah. </w:t>
      </w:r>
      <w:r>
        <w:rPr>
          <w:lang w:val="en-US"/>
        </w:rPr>
        <w:t>S</w:t>
      </w:r>
      <w:r>
        <w:t>eluruh fitur unggulan dari tiap lokasi digabungkan menjadi satu daftar input global. Pendekatan ini memastikan variabel lokal yang krusial bagi lokasi tertentu</w:t>
      </w:r>
      <w:r>
        <w:rPr>
          <w:lang w:val="en-US"/>
        </w:rPr>
        <w:t xml:space="preserve"> </w:t>
      </w:r>
      <w:r>
        <w:t>tetap terakomodasi dalam model gabungan tanpa kehilangan informasi penting.</w:t>
      </w:r>
    </w:p>
    <w:p w14:paraId="6B1B736C">
      <w:pPr>
        <w:pStyle w:val="44"/>
      </w:pPr>
      <w:r>
        <w:t xml:space="preserve">h) Keluaran Modul </w:t>
      </w:r>
      <w:r>
        <w:rPr>
          <w:i/>
        </w:rPr>
        <w:t>Preprocessing</w:t>
      </w:r>
    </w:p>
    <w:p w14:paraId="1727DE63">
      <w:pPr>
        <w:spacing w:after="0"/>
        <w:ind w:left="284" w:firstLine="720"/>
        <w:rPr>
          <w:lang w:val="zh-CN"/>
        </w:rPr>
      </w:pPr>
      <w:r>
        <w:rPr>
          <w:lang w:val="zh-CN"/>
        </w:rPr>
        <w:t xml:space="preserve">Keluaran akhir dari seluruh rangkaian </w:t>
      </w:r>
      <w:r>
        <w:rPr>
          <w:i/>
          <w:lang w:val="zh-CN"/>
        </w:rPr>
        <w:t>preprocessing</w:t>
      </w:r>
      <w:r>
        <w:rPr>
          <w:lang w:val="zh-CN"/>
        </w:rPr>
        <w:t xml:space="preserve"> adalah berkas CSV terpisah untuk setiap himpunan data. Representasinya ada di Tabel 3. 6 berikut.</w:t>
      </w:r>
    </w:p>
    <w:p w14:paraId="6F8B4205">
      <w:pPr>
        <w:pStyle w:val="11"/>
        <w:keepNext/>
        <w:jc w:val="center"/>
        <w:rPr>
          <w:b/>
          <w:i w:val="0"/>
          <w:color w:val="auto"/>
          <w:sz w:val="24"/>
        </w:rPr>
      </w:pPr>
      <w:bookmarkStart w:id="58" w:name="_Toc235035446"/>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rPr>
        <w:t xml:space="preserve"> Representasi Data Hasil </w:t>
      </w:r>
      <w:r>
        <w:rPr>
          <w:b/>
          <w:color w:val="auto"/>
          <w:sz w:val="24"/>
        </w:rPr>
        <w:t>Preprocessing</w:t>
      </w:r>
      <w:bookmarkEnd w:id="58"/>
    </w:p>
    <w:tbl>
      <w:tblPr>
        <w:tblStyle w:val="25"/>
        <w:tblW w:w="8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456"/>
        <w:gridCol w:w="2441"/>
        <w:gridCol w:w="2590"/>
        <w:gridCol w:w="990"/>
      </w:tblGrid>
      <w:tr w14:paraId="2207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0" w:type="auto"/>
            <w:vAlign w:val="center"/>
          </w:tcPr>
          <w:p w14:paraId="4C70B3A6">
            <w:pPr>
              <w:spacing w:after="0" w:line="240" w:lineRule="auto"/>
              <w:jc w:val="center"/>
              <w:rPr>
                <w:rFonts w:eastAsia="Times New Roman" w:cs="Times New Roman"/>
                <w:color w:val="1F1F1F"/>
                <w:szCs w:val="24"/>
              </w:rPr>
            </w:pPr>
            <w:r>
              <w:rPr>
                <w:rFonts w:eastAsia="Times New Roman" w:cs="Times New Roman"/>
                <w:b/>
                <w:bCs/>
                <w:color w:val="1F1F1F"/>
                <w:szCs w:val="24"/>
              </w:rPr>
              <w:t>No.</w:t>
            </w:r>
          </w:p>
        </w:tc>
        <w:tc>
          <w:tcPr>
            <w:tcW w:w="1456" w:type="dxa"/>
            <w:vAlign w:val="center"/>
          </w:tcPr>
          <w:p w14:paraId="1AA8CEA2">
            <w:pPr>
              <w:spacing w:after="0" w:line="240" w:lineRule="auto"/>
              <w:jc w:val="center"/>
              <w:rPr>
                <w:rFonts w:eastAsia="Times New Roman" w:cs="Times New Roman"/>
                <w:color w:val="1F1F1F"/>
                <w:szCs w:val="24"/>
              </w:rPr>
            </w:pPr>
            <w:r>
              <w:rPr>
                <w:rFonts w:eastAsia="Times New Roman" w:cs="Times New Roman"/>
                <w:b/>
                <w:bCs/>
                <w:color w:val="1F1F1F"/>
                <w:szCs w:val="24"/>
              </w:rPr>
              <w:t>Kategori</w:t>
            </w:r>
          </w:p>
        </w:tc>
        <w:tc>
          <w:tcPr>
            <w:tcW w:w="2441" w:type="dxa"/>
            <w:vAlign w:val="center"/>
          </w:tcPr>
          <w:p w14:paraId="590BE2D5">
            <w:pPr>
              <w:spacing w:after="0" w:line="240" w:lineRule="auto"/>
              <w:jc w:val="center"/>
              <w:rPr>
                <w:rFonts w:eastAsia="Times New Roman" w:cs="Times New Roman"/>
                <w:color w:val="1F1F1F"/>
                <w:szCs w:val="24"/>
              </w:rPr>
            </w:pPr>
            <w:r>
              <w:rPr>
                <w:rFonts w:eastAsia="Times New Roman" w:cs="Times New Roman"/>
                <w:b/>
                <w:bCs/>
                <w:color w:val="1F1F1F"/>
                <w:szCs w:val="24"/>
              </w:rPr>
              <w:t>Nama Kolom</w:t>
            </w:r>
          </w:p>
        </w:tc>
        <w:tc>
          <w:tcPr>
            <w:tcW w:w="2590" w:type="dxa"/>
            <w:vAlign w:val="center"/>
          </w:tcPr>
          <w:p w14:paraId="3809F83F">
            <w:pPr>
              <w:spacing w:after="0" w:line="240" w:lineRule="auto"/>
              <w:jc w:val="center"/>
              <w:rPr>
                <w:rFonts w:eastAsia="Times New Roman" w:cs="Times New Roman"/>
                <w:color w:val="1F1F1F"/>
                <w:szCs w:val="24"/>
              </w:rPr>
            </w:pPr>
            <w:r>
              <w:rPr>
                <w:rFonts w:eastAsia="Times New Roman" w:cs="Times New Roman"/>
                <w:b/>
                <w:bCs/>
                <w:color w:val="1F1F1F"/>
                <w:szCs w:val="24"/>
              </w:rPr>
              <w:t>Deskripsi</w:t>
            </w:r>
          </w:p>
        </w:tc>
        <w:tc>
          <w:tcPr>
            <w:tcW w:w="990" w:type="dxa"/>
            <w:vAlign w:val="center"/>
          </w:tcPr>
          <w:p w14:paraId="71854DD1">
            <w:pPr>
              <w:spacing w:after="0" w:line="240" w:lineRule="auto"/>
              <w:jc w:val="center"/>
              <w:rPr>
                <w:rFonts w:eastAsia="Times New Roman" w:cs="Times New Roman"/>
                <w:color w:val="1F1F1F"/>
                <w:szCs w:val="24"/>
              </w:rPr>
            </w:pPr>
            <w:r>
              <w:rPr>
                <w:rFonts w:eastAsia="Times New Roman" w:cs="Times New Roman"/>
                <w:b/>
                <w:bCs/>
                <w:color w:val="1F1F1F"/>
                <w:szCs w:val="24"/>
              </w:rPr>
              <w:t>Contoh Nilai</w:t>
            </w:r>
          </w:p>
        </w:tc>
      </w:tr>
      <w:tr w14:paraId="74A9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Align w:val="center"/>
          </w:tcPr>
          <w:p w14:paraId="0D7AFB7F">
            <w:pPr>
              <w:spacing w:after="0" w:line="240" w:lineRule="auto"/>
              <w:jc w:val="center"/>
              <w:rPr>
                <w:rFonts w:eastAsia="Times New Roman" w:cs="Times New Roman"/>
                <w:color w:val="1F1F1F"/>
                <w:szCs w:val="24"/>
              </w:rPr>
            </w:pPr>
            <w:r>
              <w:rPr>
                <w:rFonts w:eastAsia="Times New Roman" w:cs="Times New Roman"/>
                <w:bCs/>
                <w:color w:val="1F1F1F"/>
                <w:szCs w:val="24"/>
              </w:rPr>
              <w:t>1.</w:t>
            </w:r>
          </w:p>
        </w:tc>
        <w:tc>
          <w:tcPr>
            <w:tcW w:w="1456" w:type="dxa"/>
            <w:vAlign w:val="center"/>
          </w:tcPr>
          <w:p w14:paraId="420EF088">
            <w:pPr>
              <w:spacing w:after="0" w:line="240" w:lineRule="auto"/>
              <w:jc w:val="center"/>
              <w:rPr>
                <w:rFonts w:eastAsia="Times New Roman" w:cs="Times New Roman"/>
                <w:color w:val="1F1F1F"/>
                <w:szCs w:val="24"/>
              </w:rPr>
            </w:pPr>
            <w:r>
              <w:rPr>
                <w:rFonts w:eastAsia="Times New Roman" w:cs="Times New Roman"/>
                <w:bCs/>
                <w:color w:val="1F1F1F"/>
                <w:szCs w:val="24"/>
              </w:rPr>
              <w:t>Tanggal</w:t>
            </w:r>
          </w:p>
        </w:tc>
        <w:tc>
          <w:tcPr>
            <w:tcW w:w="2441" w:type="dxa"/>
            <w:vAlign w:val="center"/>
          </w:tcPr>
          <w:p w14:paraId="522E707D">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date</w:t>
            </w:r>
          </w:p>
        </w:tc>
        <w:tc>
          <w:tcPr>
            <w:tcW w:w="2590" w:type="dxa"/>
            <w:vAlign w:val="center"/>
          </w:tcPr>
          <w:p w14:paraId="5A9E5881">
            <w:pPr>
              <w:spacing w:after="0" w:line="240" w:lineRule="auto"/>
              <w:jc w:val="center"/>
              <w:rPr>
                <w:rFonts w:eastAsia="Times New Roman" w:cs="Times New Roman"/>
                <w:color w:val="1F1F1F"/>
                <w:szCs w:val="24"/>
              </w:rPr>
            </w:pPr>
            <w:r>
              <w:rPr>
                <w:rFonts w:eastAsia="Times New Roman" w:cs="Times New Roman"/>
                <w:color w:val="1F1F1F"/>
                <w:szCs w:val="24"/>
              </w:rPr>
              <w:t>Tanggal pencatatan</w:t>
            </w:r>
          </w:p>
        </w:tc>
        <w:tc>
          <w:tcPr>
            <w:tcW w:w="990" w:type="dxa"/>
            <w:vAlign w:val="center"/>
          </w:tcPr>
          <w:p w14:paraId="07B638B0">
            <w:pPr>
              <w:spacing w:after="0" w:line="240" w:lineRule="auto"/>
              <w:jc w:val="center"/>
              <w:rPr>
                <w:rFonts w:eastAsia="Times New Roman" w:cs="Times New Roman"/>
                <w:color w:val="1F1F1F"/>
                <w:szCs w:val="24"/>
              </w:rPr>
            </w:pPr>
            <w:r>
              <w:rPr>
                <w:rFonts w:eastAsia="Times New Roman" w:cs="Times New Roman"/>
                <w:color w:val="1F1F1F"/>
                <w:szCs w:val="24"/>
              </w:rPr>
              <w:t>2022-02-10</w:t>
            </w:r>
          </w:p>
        </w:tc>
      </w:tr>
      <w:tr w14:paraId="4528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24BB19F7">
            <w:pPr>
              <w:spacing w:after="0" w:line="240" w:lineRule="auto"/>
              <w:jc w:val="center"/>
              <w:rPr>
                <w:rFonts w:eastAsia="Times New Roman" w:cs="Times New Roman"/>
                <w:color w:val="1F1F1F"/>
                <w:szCs w:val="24"/>
              </w:rPr>
            </w:pPr>
            <w:r>
              <w:rPr>
                <w:rFonts w:eastAsia="Times New Roman" w:cs="Times New Roman"/>
                <w:bCs/>
                <w:color w:val="1F1F1F"/>
                <w:szCs w:val="24"/>
              </w:rPr>
              <w:t>2.</w:t>
            </w:r>
          </w:p>
        </w:tc>
        <w:tc>
          <w:tcPr>
            <w:tcW w:w="1456" w:type="dxa"/>
            <w:vMerge w:val="restart"/>
            <w:vAlign w:val="center"/>
          </w:tcPr>
          <w:p w14:paraId="38DFCDDB">
            <w:pPr>
              <w:spacing w:after="0" w:line="240" w:lineRule="auto"/>
              <w:jc w:val="center"/>
              <w:rPr>
                <w:rFonts w:eastAsia="Times New Roman" w:cs="Times New Roman"/>
                <w:color w:val="1F1F1F"/>
                <w:szCs w:val="24"/>
              </w:rPr>
            </w:pPr>
            <w:r>
              <w:rPr>
                <w:rFonts w:eastAsia="Times New Roman" w:cs="Times New Roman"/>
                <w:bCs/>
                <w:color w:val="1F1F1F"/>
                <w:szCs w:val="24"/>
              </w:rPr>
              <w:t>Target</w:t>
            </w:r>
          </w:p>
        </w:tc>
        <w:tc>
          <w:tcPr>
            <w:tcW w:w="2441" w:type="dxa"/>
            <w:vAlign w:val="center"/>
          </w:tcPr>
          <w:p w14:paraId="7CE91C14">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y_raw_mm</w:t>
            </w:r>
          </w:p>
        </w:tc>
        <w:tc>
          <w:tcPr>
            <w:tcW w:w="2590" w:type="dxa"/>
            <w:vAlign w:val="center"/>
          </w:tcPr>
          <w:p w14:paraId="15E71D16">
            <w:pPr>
              <w:spacing w:after="0" w:line="240" w:lineRule="auto"/>
              <w:jc w:val="center"/>
              <w:rPr>
                <w:rFonts w:eastAsia="Times New Roman" w:cs="Times New Roman"/>
                <w:color w:val="1F1F1F"/>
                <w:szCs w:val="24"/>
              </w:rPr>
            </w:pPr>
            <w:r>
              <w:rPr>
                <w:rFonts w:eastAsia="Times New Roman" w:cs="Times New Roman"/>
                <w:color w:val="1F1F1F"/>
                <w:szCs w:val="24"/>
              </w:rPr>
              <w:t>Curah hujan asli (mm)</w:t>
            </w:r>
          </w:p>
        </w:tc>
        <w:tc>
          <w:tcPr>
            <w:tcW w:w="990" w:type="dxa"/>
            <w:vAlign w:val="center"/>
          </w:tcPr>
          <w:p w14:paraId="5E53852B">
            <w:pPr>
              <w:spacing w:after="0" w:line="240" w:lineRule="auto"/>
              <w:jc w:val="center"/>
              <w:rPr>
                <w:rFonts w:eastAsia="Times New Roman" w:cs="Times New Roman"/>
                <w:color w:val="1F1F1F"/>
                <w:szCs w:val="24"/>
              </w:rPr>
            </w:pPr>
            <w:r>
              <w:rPr>
                <w:rFonts w:eastAsia="Times New Roman" w:cs="Times New Roman"/>
                <w:color w:val="1F1F1F"/>
                <w:szCs w:val="24"/>
              </w:rPr>
              <w:t>25.50</w:t>
            </w:r>
          </w:p>
        </w:tc>
      </w:tr>
      <w:tr w14:paraId="597C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469917E7">
            <w:pPr>
              <w:spacing w:after="0" w:line="240" w:lineRule="auto"/>
              <w:jc w:val="center"/>
              <w:rPr>
                <w:rFonts w:eastAsia="Times New Roman" w:cs="Times New Roman"/>
                <w:color w:val="1F1F1F"/>
                <w:szCs w:val="24"/>
              </w:rPr>
            </w:pPr>
          </w:p>
        </w:tc>
        <w:tc>
          <w:tcPr>
            <w:tcW w:w="1456" w:type="dxa"/>
            <w:vMerge w:val="continue"/>
            <w:vAlign w:val="center"/>
          </w:tcPr>
          <w:p w14:paraId="7A36DD05">
            <w:pPr>
              <w:spacing w:after="0" w:line="240" w:lineRule="auto"/>
              <w:jc w:val="center"/>
              <w:rPr>
                <w:rFonts w:eastAsia="Times New Roman" w:cs="Times New Roman"/>
                <w:sz w:val="20"/>
                <w:szCs w:val="20"/>
              </w:rPr>
            </w:pPr>
          </w:p>
        </w:tc>
        <w:tc>
          <w:tcPr>
            <w:tcW w:w="2441" w:type="dxa"/>
            <w:vAlign w:val="center"/>
          </w:tcPr>
          <w:p w14:paraId="25C9FC6F">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y_trans</w:t>
            </w:r>
          </w:p>
        </w:tc>
        <w:tc>
          <w:tcPr>
            <w:tcW w:w="2590" w:type="dxa"/>
            <w:vAlign w:val="center"/>
          </w:tcPr>
          <w:p w14:paraId="50E5EC4A">
            <w:pPr>
              <w:spacing w:after="0" w:line="240" w:lineRule="auto"/>
              <w:jc w:val="center"/>
              <w:rPr>
                <w:rFonts w:eastAsia="Times New Roman" w:cs="Times New Roman"/>
                <w:color w:val="1F1F1F"/>
                <w:szCs w:val="24"/>
              </w:rPr>
            </w:pPr>
            <w:r>
              <w:rPr>
                <w:rFonts w:eastAsia="Times New Roman" w:cs="Times New Roman"/>
                <w:color w:val="1F1F1F"/>
                <w:szCs w:val="24"/>
              </w:rPr>
              <w:t>Curah hujan transformasi</w:t>
            </w:r>
          </w:p>
        </w:tc>
        <w:tc>
          <w:tcPr>
            <w:tcW w:w="990" w:type="dxa"/>
            <w:vAlign w:val="center"/>
          </w:tcPr>
          <w:p w14:paraId="1FA6B50B">
            <w:pPr>
              <w:spacing w:after="0" w:line="240" w:lineRule="auto"/>
              <w:jc w:val="center"/>
              <w:rPr>
                <w:rFonts w:eastAsia="Times New Roman" w:cs="Times New Roman"/>
                <w:color w:val="1F1F1F"/>
                <w:szCs w:val="24"/>
              </w:rPr>
            </w:pPr>
            <w:r>
              <w:rPr>
                <w:rFonts w:eastAsia="Times New Roman" w:cs="Times New Roman"/>
                <w:color w:val="1F1F1F"/>
                <w:szCs w:val="24"/>
              </w:rPr>
              <w:t>5.07</w:t>
            </w:r>
          </w:p>
        </w:tc>
      </w:tr>
      <w:tr w14:paraId="6B35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08C5A8FF">
            <w:pPr>
              <w:spacing w:after="0" w:line="240" w:lineRule="auto"/>
              <w:jc w:val="center"/>
              <w:rPr>
                <w:rFonts w:eastAsia="Times New Roman" w:cs="Times New Roman"/>
                <w:color w:val="1F1F1F"/>
                <w:szCs w:val="24"/>
              </w:rPr>
            </w:pPr>
            <w:r>
              <w:rPr>
                <w:rFonts w:eastAsia="Times New Roman" w:cs="Times New Roman"/>
                <w:bCs/>
                <w:color w:val="1F1F1F"/>
                <w:szCs w:val="24"/>
              </w:rPr>
              <w:t>3.</w:t>
            </w:r>
          </w:p>
        </w:tc>
        <w:tc>
          <w:tcPr>
            <w:tcW w:w="1456" w:type="dxa"/>
            <w:vMerge w:val="restart"/>
            <w:vAlign w:val="center"/>
          </w:tcPr>
          <w:p w14:paraId="21F0E9B9">
            <w:pPr>
              <w:spacing w:after="0" w:line="240" w:lineRule="auto"/>
              <w:jc w:val="center"/>
              <w:rPr>
                <w:rFonts w:eastAsia="Times New Roman" w:cs="Times New Roman"/>
                <w:color w:val="1F1F1F"/>
                <w:szCs w:val="24"/>
              </w:rPr>
            </w:pPr>
            <w:r>
              <w:rPr>
                <w:rFonts w:eastAsia="Times New Roman" w:cs="Times New Roman"/>
                <w:bCs/>
                <w:color w:val="1F1F1F"/>
                <w:szCs w:val="24"/>
              </w:rPr>
              <w:t>Musiman</w:t>
            </w:r>
          </w:p>
        </w:tc>
        <w:tc>
          <w:tcPr>
            <w:tcW w:w="2441" w:type="dxa"/>
            <w:vAlign w:val="center"/>
          </w:tcPr>
          <w:p w14:paraId="324322B1">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sin36</w:t>
            </w:r>
          </w:p>
        </w:tc>
        <w:tc>
          <w:tcPr>
            <w:tcW w:w="2590" w:type="dxa"/>
            <w:vAlign w:val="center"/>
          </w:tcPr>
          <w:p w14:paraId="5496BAE3">
            <w:pPr>
              <w:spacing w:after="0" w:line="240" w:lineRule="auto"/>
              <w:jc w:val="center"/>
              <w:rPr>
                <w:rFonts w:eastAsia="Times New Roman" w:cs="Times New Roman"/>
                <w:color w:val="1F1F1F"/>
                <w:szCs w:val="24"/>
              </w:rPr>
            </w:pPr>
            <w:r>
              <w:rPr>
                <w:rFonts w:eastAsia="Times New Roman" w:cs="Times New Roman"/>
                <w:color w:val="1F1F1F"/>
                <w:szCs w:val="24"/>
              </w:rPr>
              <w:t>Komponen sinus siklus tahunan (36 fase)</w:t>
            </w:r>
          </w:p>
        </w:tc>
        <w:tc>
          <w:tcPr>
            <w:tcW w:w="990" w:type="dxa"/>
            <w:vAlign w:val="center"/>
          </w:tcPr>
          <w:p w14:paraId="358C8775">
            <w:pPr>
              <w:spacing w:after="0" w:line="240" w:lineRule="auto"/>
              <w:jc w:val="center"/>
              <w:rPr>
                <w:rFonts w:eastAsia="Times New Roman" w:cs="Times New Roman"/>
                <w:color w:val="1F1F1F"/>
                <w:szCs w:val="24"/>
              </w:rPr>
            </w:pPr>
            <w:r>
              <w:rPr>
                <w:rFonts w:eastAsia="Times New Roman" w:cs="Times New Roman"/>
                <w:color w:val="1F1F1F"/>
                <w:szCs w:val="24"/>
              </w:rPr>
              <w:t>0.87</w:t>
            </w:r>
          </w:p>
        </w:tc>
      </w:tr>
      <w:tr w14:paraId="6497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B322054">
            <w:pPr>
              <w:spacing w:after="0" w:line="240" w:lineRule="auto"/>
              <w:jc w:val="center"/>
              <w:rPr>
                <w:rFonts w:eastAsia="Times New Roman" w:cs="Times New Roman"/>
                <w:color w:val="1F1F1F"/>
                <w:szCs w:val="24"/>
              </w:rPr>
            </w:pPr>
          </w:p>
        </w:tc>
        <w:tc>
          <w:tcPr>
            <w:tcW w:w="1456" w:type="dxa"/>
            <w:vMerge w:val="continue"/>
            <w:vAlign w:val="center"/>
          </w:tcPr>
          <w:p w14:paraId="4D0F2BEE">
            <w:pPr>
              <w:spacing w:after="0" w:line="240" w:lineRule="auto"/>
              <w:jc w:val="center"/>
              <w:rPr>
                <w:rFonts w:eastAsia="Times New Roman" w:cs="Times New Roman"/>
                <w:sz w:val="20"/>
                <w:szCs w:val="20"/>
              </w:rPr>
            </w:pPr>
          </w:p>
        </w:tc>
        <w:tc>
          <w:tcPr>
            <w:tcW w:w="2441" w:type="dxa"/>
            <w:vAlign w:val="center"/>
          </w:tcPr>
          <w:p w14:paraId="5A151536">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cos36</w:t>
            </w:r>
          </w:p>
        </w:tc>
        <w:tc>
          <w:tcPr>
            <w:tcW w:w="2590" w:type="dxa"/>
            <w:vAlign w:val="center"/>
          </w:tcPr>
          <w:p w14:paraId="75DBAAF4">
            <w:pPr>
              <w:spacing w:after="0" w:line="240" w:lineRule="auto"/>
              <w:jc w:val="center"/>
              <w:rPr>
                <w:rFonts w:eastAsia="Times New Roman" w:cs="Times New Roman"/>
                <w:color w:val="1F1F1F"/>
                <w:szCs w:val="24"/>
              </w:rPr>
            </w:pPr>
            <w:r>
              <w:rPr>
                <w:rFonts w:eastAsia="Times New Roman" w:cs="Times New Roman"/>
                <w:color w:val="1F1F1F"/>
                <w:szCs w:val="24"/>
              </w:rPr>
              <w:t>Komponen kosinus siklus tahunan (36 fase)</w:t>
            </w:r>
          </w:p>
        </w:tc>
        <w:tc>
          <w:tcPr>
            <w:tcW w:w="990" w:type="dxa"/>
            <w:vAlign w:val="center"/>
          </w:tcPr>
          <w:p w14:paraId="073A59E4">
            <w:pPr>
              <w:spacing w:after="0" w:line="240" w:lineRule="auto"/>
              <w:jc w:val="center"/>
              <w:rPr>
                <w:rFonts w:eastAsia="Times New Roman" w:cs="Times New Roman"/>
                <w:color w:val="1F1F1F"/>
                <w:szCs w:val="24"/>
              </w:rPr>
            </w:pPr>
            <w:r>
              <w:rPr>
                <w:rFonts w:eastAsia="Times New Roman" w:cs="Times New Roman"/>
                <w:color w:val="1F1F1F"/>
                <w:szCs w:val="24"/>
              </w:rPr>
              <w:t>0.50</w:t>
            </w:r>
          </w:p>
        </w:tc>
      </w:tr>
      <w:tr w14:paraId="0022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16CED210">
            <w:pPr>
              <w:spacing w:after="0" w:line="240" w:lineRule="auto"/>
              <w:jc w:val="center"/>
              <w:rPr>
                <w:rFonts w:eastAsia="Times New Roman" w:cs="Times New Roman"/>
                <w:color w:val="1F1F1F"/>
                <w:szCs w:val="24"/>
              </w:rPr>
            </w:pPr>
            <w:r>
              <w:rPr>
                <w:rFonts w:eastAsia="Times New Roman" w:cs="Times New Roman"/>
                <w:bCs/>
                <w:color w:val="1F1F1F"/>
                <w:szCs w:val="24"/>
              </w:rPr>
              <w:t>4.</w:t>
            </w:r>
          </w:p>
        </w:tc>
        <w:tc>
          <w:tcPr>
            <w:tcW w:w="1456" w:type="dxa"/>
            <w:vMerge w:val="restart"/>
            <w:vAlign w:val="center"/>
          </w:tcPr>
          <w:p w14:paraId="175D76C6">
            <w:pPr>
              <w:spacing w:after="0" w:line="240" w:lineRule="auto"/>
              <w:jc w:val="center"/>
              <w:rPr>
                <w:rFonts w:eastAsia="Times New Roman" w:cs="Times New Roman"/>
                <w:color w:val="1F1F1F"/>
                <w:szCs w:val="24"/>
              </w:rPr>
            </w:pPr>
            <w:r>
              <w:rPr>
                <w:rFonts w:eastAsia="Times New Roman" w:cs="Times New Roman"/>
                <w:bCs/>
                <w:color w:val="1F1F1F"/>
                <w:szCs w:val="24"/>
              </w:rPr>
              <w:t>Kalender</w:t>
            </w:r>
          </w:p>
        </w:tc>
        <w:tc>
          <w:tcPr>
            <w:tcW w:w="2441" w:type="dxa"/>
            <w:vAlign w:val="center"/>
          </w:tcPr>
          <w:p w14:paraId="77A23DED">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year</w:t>
            </w:r>
          </w:p>
        </w:tc>
        <w:tc>
          <w:tcPr>
            <w:tcW w:w="2590" w:type="dxa"/>
            <w:vAlign w:val="center"/>
          </w:tcPr>
          <w:p w14:paraId="262EAF8D">
            <w:pPr>
              <w:spacing w:after="0" w:line="240" w:lineRule="auto"/>
              <w:jc w:val="center"/>
              <w:rPr>
                <w:rFonts w:eastAsia="Times New Roman" w:cs="Times New Roman"/>
                <w:color w:val="1F1F1F"/>
                <w:szCs w:val="24"/>
              </w:rPr>
            </w:pPr>
            <w:r>
              <w:rPr>
                <w:rFonts w:eastAsia="Times New Roman" w:cs="Times New Roman"/>
                <w:color w:val="1F1F1F"/>
                <w:szCs w:val="24"/>
              </w:rPr>
              <w:t>Tahun pencatatan</w:t>
            </w:r>
          </w:p>
        </w:tc>
        <w:tc>
          <w:tcPr>
            <w:tcW w:w="990" w:type="dxa"/>
            <w:vAlign w:val="center"/>
          </w:tcPr>
          <w:p w14:paraId="681170D6">
            <w:pPr>
              <w:spacing w:after="0" w:line="240" w:lineRule="auto"/>
              <w:jc w:val="center"/>
              <w:rPr>
                <w:rFonts w:eastAsia="Times New Roman" w:cs="Times New Roman"/>
                <w:color w:val="1F1F1F"/>
                <w:szCs w:val="24"/>
              </w:rPr>
            </w:pPr>
            <w:r>
              <w:rPr>
                <w:rFonts w:eastAsia="Times New Roman" w:cs="Times New Roman"/>
                <w:color w:val="1F1F1F"/>
                <w:szCs w:val="24"/>
              </w:rPr>
              <w:t>2020</w:t>
            </w:r>
          </w:p>
        </w:tc>
      </w:tr>
      <w:tr w14:paraId="0592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50299614">
            <w:pPr>
              <w:spacing w:after="0" w:line="240" w:lineRule="auto"/>
              <w:jc w:val="center"/>
              <w:rPr>
                <w:rFonts w:eastAsia="Times New Roman" w:cs="Times New Roman"/>
                <w:color w:val="1F1F1F"/>
                <w:szCs w:val="24"/>
              </w:rPr>
            </w:pPr>
          </w:p>
        </w:tc>
        <w:tc>
          <w:tcPr>
            <w:tcW w:w="1456" w:type="dxa"/>
            <w:vMerge w:val="continue"/>
            <w:vAlign w:val="center"/>
          </w:tcPr>
          <w:p w14:paraId="666F52D5">
            <w:pPr>
              <w:spacing w:after="0" w:line="240" w:lineRule="auto"/>
              <w:jc w:val="center"/>
              <w:rPr>
                <w:rFonts w:eastAsia="Times New Roman" w:cs="Times New Roman"/>
                <w:sz w:val="20"/>
                <w:szCs w:val="20"/>
              </w:rPr>
            </w:pPr>
          </w:p>
        </w:tc>
        <w:tc>
          <w:tcPr>
            <w:tcW w:w="2441" w:type="dxa"/>
            <w:vAlign w:val="center"/>
          </w:tcPr>
          <w:p w14:paraId="57C9AE3D">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month</w:t>
            </w:r>
          </w:p>
        </w:tc>
        <w:tc>
          <w:tcPr>
            <w:tcW w:w="2590" w:type="dxa"/>
            <w:vAlign w:val="center"/>
          </w:tcPr>
          <w:p w14:paraId="6F2E3379">
            <w:pPr>
              <w:spacing w:after="0" w:line="240" w:lineRule="auto"/>
              <w:jc w:val="center"/>
              <w:rPr>
                <w:rFonts w:eastAsia="Times New Roman" w:cs="Times New Roman"/>
                <w:color w:val="1F1F1F"/>
                <w:szCs w:val="24"/>
              </w:rPr>
            </w:pPr>
            <w:r>
              <w:rPr>
                <w:rFonts w:eastAsia="Times New Roman" w:cs="Times New Roman"/>
                <w:color w:val="1F1F1F"/>
                <w:szCs w:val="24"/>
              </w:rPr>
              <w:t>Bulan (1–12)</w:t>
            </w:r>
          </w:p>
        </w:tc>
        <w:tc>
          <w:tcPr>
            <w:tcW w:w="990" w:type="dxa"/>
            <w:vAlign w:val="center"/>
          </w:tcPr>
          <w:p w14:paraId="5A799693">
            <w:pPr>
              <w:spacing w:after="0" w:line="240" w:lineRule="auto"/>
              <w:jc w:val="center"/>
              <w:rPr>
                <w:rFonts w:eastAsia="Times New Roman" w:cs="Times New Roman"/>
                <w:color w:val="1F1F1F"/>
                <w:szCs w:val="24"/>
              </w:rPr>
            </w:pPr>
            <w:r>
              <w:rPr>
                <w:rFonts w:eastAsia="Times New Roman" w:cs="Times New Roman"/>
                <w:color w:val="1F1F1F"/>
                <w:szCs w:val="24"/>
              </w:rPr>
              <w:t>3</w:t>
            </w:r>
          </w:p>
        </w:tc>
      </w:tr>
      <w:tr w14:paraId="3A83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5FA0EE0D">
            <w:pPr>
              <w:spacing w:after="0" w:line="240" w:lineRule="auto"/>
              <w:jc w:val="center"/>
              <w:rPr>
                <w:rFonts w:eastAsia="Times New Roman" w:cs="Times New Roman"/>
                <w:color w:val="1F1F1F"/>
                <w:szCs w:val="24"/>
              </w:rPr>
            </w:pPr>
          </w:p>
        </w:tc>
        <w:tc>
          <w:tcPr>
            <w:tcW w:w="1456" w:type="dxa"/>
            <w:vMerge w:val="continue"/>
            <w:vAlign w:val="center"/>
          </w:tcPr>
          <w:p w14:paraId="3BD94902">
            <w:pPr>
              <w:spacing w:after="0" w:line="240" w:lineRule="auto"/>
              <w:jc w:val="center"/>
              <w:rPr>
                <w:rFonts w:eastAsia="Times New Roman" w:cs="Times New Roman"/>
                <w:sz w:val="20"/>
                <w:szCs w:val="20"/>
              </w:rPr>
            </w:pPr>
          </w:p>
        </w:tc>
        <w:tc>
          <w:tcPr>
            <w:tcW w:w="2441" w:type="dxa"/>
            <w:vAlign w:val="center"/>
          </w:tcPr>
          <w:p w14:paraId="19D294DD">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dekad_in_month</w:t>
            </w:r>
          </w:p>
        </w:tc>
        <w:tc>
          <w:tcPr>
            <w:tcW w:w="2590" w:type="dxa"/>
            <w:vAlign w:val="center"/>
          </w:tcPr>
          <w:p w14:paraId="3EA5B289">
            <w:pPr>
              <w:spacing w:after="0" w:line="240" w:lineRule="auto"/>
              <w:jc w:val="center"/>
              <w:rPr>
                <w:rFonts w:eastAsia="Times New Roman" w:cs="Times New Roman"/>
                <w:color w:val="1F1F1F"/>
                <w:szCs w:val="24"/>
              </w:rPr>
            </w:pPr>
            <w:r>
              <w:rPr>
                <w:rFonts w:eastAsia="Times New Roman" w:cs="Times New Roman"/>
                <w:color w:val="1F1F1F"/>
                <w:szCs w:val="24"/>
              </w:rPr>
              <w:t>Urutan dasarian dalam bulan (1–3)</w:t>
            </w:r>
          </w:p>
        </w:tc>
        <w:tc>
          <w:tcPr>
            <w:tcW w:w="990" w:type="dxa"/>
            <w:vAlign w:val="center"/>
          </w:tcPr>
          <w:p w14:paraId="75BEF9D9">
            <w:pPr>
              <w:spacing w:after="0" w:line="240" w:lineRule="auto"/>
              <w:jc w:val="center"/>
              <w:rPr>
                <w:rFonts w:eastAsia="Times New Roman" w:cs="Times New Roman"/>
                <w:color w:val="1F1F1F"/>
                <w:szCs w:val="24"/>
              </w:rPr>
            </w:pPr>
            <w:r>
              <w:rPr>
                <w:rFonts w:eastAsia="Times New Roman" w:cs="Times New Roman"/>
                <w:color w:val="1F1F1F"/>
                <w:szCs w:val="24"/>
              </w:rPr>
              <w:t>2</w:t>
            </w:r>
          </w:p>
        </w:tc>
      </w:tr>
      <w:tr w14:paraId="0C14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29ACE58">
            <w:pPr>
              <w:spacing w:after="0" w:line="240" w:lineRule="auto"/>
              <w:jc w:val="center"/>
              <w:rPr>
                <w:rFonts w:eastAsia="Times New Roman" w:cs="Times New Roman"/>
                <w:color w:val="1F1F1F"/>
                <w:szCs w:val="24"/>
              </w:rPr>
            </w:pPr>
          </w:p>
        </w:tc>
        <w:tc>
          <w:tcPr>
            <w:tcW w:w="1456" w:type="dxa"/>
            <w:vMerge w:val="continue"/>
            <w:vAlign w:val="center"/>
          </w:tcPr>
          <w:p w14:paraId="37EAF576">
            <w:pPr>
              <w:spacing w:after="0" w:line="240" w:lineRule="auto"/>
              <w:jc w:val="center"/>
              <w:rPr>
                <w:rFonts w:eastAsia="Times New Roman" w:cs="Times New Roman"/>
                <w:sz w:val="20"/>
                <w:szCs w:val="20"/>
              </w:rPr>
            </w:pPr>
          </w:p>
        </w:tc>
        <w:tc>
          <w:tcPr>
            <w:tcW w:w="2441" w:type="dxa"/>
            <w:vAlign w:val="center"/>
          </w:tcPr>
          <w:p w14:paraId="4BD7947F">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dekad_index_annual</w:t>
            </w:r>
          </w:p>
        </w:tc>
        <w:tc>
          <w:tcPr>
            <w:tcW w:w="2590" w:type="dxa"/>
            <w:vAlign w:val="center"/>
          </w:tcPr>
          <w:p w14:paraId="2868A3CE">
            <w:pPr>
              <w:spacing w:after="0" w:line="240" w:lineRule="auto"/>
              <w:jc w:val="center"/>
              <w:rPr>
                <w:rFonts w:eastAsia="Times New Roman" w:cs="Times New Roman"/>
                <w:color w:val="1F1F1F"/>
                <w:szCs w:val="24"/>
              </w:rPr>
            </w:pPr>
            <w:r>
              <w:rPr>
                <w:rFonts w:eastAsia="Times New Roman" w:cs="Times New Roman"/>
                <w:color w:val="1F1F1F"/>
                <w:szCs w:val="24"/>
              </w:rPr>
              <w:t>Indeks dasarian tahunan (1–36)</w:t>
            </w:r>
          </w:p>
        </w:tc>
        <w:tc>
          <w:tcPr>
            <w:tcW w:w="990" w:type="dxa"/>
            <w:vAlign w:val="center"/>
          </w:tcPr>
          <w:p w14:paraId="5160DD3E">
            <w:pPr>
              <w:spacing w:after="0" w:line="240" w:lineRule="auto"/>
              <w:jc w:val="center"/>
              <w:rPr>
                <w:rFonts w:eastAsia="Times New Roman" w:cs="Times New Roman"/>
                <w:color w:val="1F1F1F"/>
                <w:szCs w:val="24"/>
              </w:rPr>
            </w:pPr>
            <w:r>
              <w:rPr>
                <w:rFonts w:eastAsia="Times New Roman" w:cs="Times New Roman"/>
                <w:color w:val="1F1F1F"/>
                <w:szCs w:val="24"/>
              </w:rPr>
              <w:t>8</w:t>
            </w:r>
          </w:p>
        </w:tc>
      </w:tr>
      <w:tr w14:paraId="5B4A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074CB39B">
            <w:pPr>
              <w:spacing w:after="0" w:line="240" w:lineRule="auto"/>
              <w:jc w:val="center"/>
              <w:rPr>
                <w:rFonts w:eastAsia="Times New Roman" w:cs="Times New Roman"/>
                <w:color w:val="1F1F1F"/>
                <w:szCs w:val="24"/>
              </w:rPr>
            </w:pPr>
            <w:r>
              <w:rPr>
                <w:rFonts w:eastAsia="Times New Roman" w:cs="Times New Roman"/>
                <w:bCs/>
                <w:color w:val="1F1F1F"/>
                <w:szCs w:val="24"/>
              </w:rPr>
              <w:t>5.</w:t>
            </w:r>
          </w:p>
        </w:tc>
        <w:tc>
          <w:tcPr>
            <w:tcW w:w="1456" w:type="dxa"/>
            <w:vMerge w:val="restart"/>
            <w:vAlign w:val="center"/>
          </w:tcPr>
          <w:p w14:paraId="2493001A">
            <w:pPr>
              <w:spacing w:after="0" w:line="240" w:lineRule="auto"/>
              <w:jc w:val="center"/>
              <w:rPr>
                <w:rFonts w:eastAsia="Times New Roman" w:cs="Times New Roman"/>
                <w:color w:val="1F1F1F"/>
                <w:szCs w:val="24"/>
              </w:rPr>
            </w:pPr>
            <w:r>
              <w:rPr>
                <w:rFonts w:eastAsia="Times New Roman" w:cs="Times New Roman"/>
                <w:bCs/>
                <w:color w:val="1F1F1F"/>
                <w:szCs w:val="24"/>
              </w:rPr>
              <w:t>Meteorologi</w:t>
            </w:r>
          </w:p>
        </w:tc>
        <w:tc>
          <w:tcPr>
            <w:tcW w:w="2441" w:type="dxa"/>
            <w:vAlign w:val="center"/>
          </w:tcPr>
          <w:p w14:paraId="3677A12A">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t2m</w:t>
            </w:r>
          </w:p>
        </w:tc>
        <w:tc>
          <w:tcPr>
            <w:tcW w:w="2590" w:type="dxa"/>
            <w:vAlign w:val="center"/>
          </w:tcPr>
          <w:p w14:paraId="266E992F">
            <w:pPr>
              <w:spacing w:after="0" w:line="240" w:lineRule="auto"/>
              <w:jc w:val="center"/>
              <w:rPr>
                <w:rFonts w:eastAsia="Times New Roman" w:cs="Times New Roman"/>
                <w:color w:val="1F1F1F"/>
                <w:szCs w:val="24"/>
              </w:rPr>
            </w:pPr>
            <w:r>
              <w:rPr>
                <w:rFonts w:eastAsia="Times New Roman" w:cs="Times New Roman"/>
                <w:color w:val="1F1F1F"/>
                <w:szCs w:val="24"/>
              </w:rPr>
              <w:t>Suhu udara 2m (°C)</w:t>
            </w:r>
          </w:p>
        </w:tc>
        <w:tc>
          <w:tcPr>
            <w:tcW w:w="990" w:type="dxa"/>
            <w:vAlign w:val="center"/>
          </w:tcPr>
          <w:p w14:paraId="7BF75A24">
            <w:pPr>
              <w:spacing w:after="0" w:line="240" w:lineRule="auto"/>
              <w:jc w:val="center"/>
              <w:rPr>
                <w:rFonts w:eastAsia="Times New Roman" w:cs="Times New Roman"/>
                <w:color w:val="1F1F1F"/>
                <w:szCs w:val="24"/>
              </w:rPr>
            </w:pPr>
            <w:r>
              <w:rPr>
                <w:rFonts w:eastAsia="Times New Roman" w:cs="Times New Roman"/>
                <w:color w:val="1F1F1F"/>
                <w:szCs w:val="24"/>
              </w:rPr>
              <w:t>24.61</w:t>
            </w:r>
          </w:p>
        </w:tc>
      </w:tr>
      <w:tr w14:paraId="11B2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431BA61C">
            <w:pPr>
              <w:spacing w:after="0" w:line="240" w:lineRule="auto"/>
              <w:jc w:val="center"/>
              <w:rPr>
                <w:rFonts w:eastAsia="Times New Roman" w:cs="Times New Roman"/>
                <w:color w:val="1F1F1F"/>
                <w:szCs w:val="24"/>
              </w:rPr>
            </w:pPr>
          </w:p>
        </w:tc>
        <w:tc>
          <w:tcPr>
            <w:tcW w:w="1456" w:type="dxa"/>
            <w:vMerge w:val="continue"/>
            <w:vAlign w:val="center"/>
          </w:tcPr>
          <w:p w14:paraId="16C056F1">
            <w:pPr>
              <w:spacing w:after="0" w:line="240" w:lineRule="auto"/>
              <w:jc w:val="center"/>
              <w:rPr>
                <w:rFonts w:eastAsia="Times New Roman" w:cs="Times New Roman"/>
                <w:sz w:val="20"/>
                <w:szCs w:val="20"/>
              </w:rPr>
            </w:pPr>
          </w:p>
        </w:tc>
        <w:tc>
          <w:tcPr>
            <w:tcW w:w="2441" w:type="dxa"/>
            <w:vAlign w:val="center"/>
          </w:tcPr>
          <w:p w14:paraId="6BD41C10">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d2m</w:t>
            </w:r>
          </w:p>
        </w:tc>
        <w:tc>
          <w:tcPr>
            <w:tcW w:w="2590" w:type="dxa"/>
            <w:vAlign w:val="center"/>
          </w:tcPr>
          <w:p w14:paraId="43457AB6">
            <w:pPr>
              <w:spacing w:after="0" w:line="240" w:lineRule="auto"/>
              <w:jc w:val="center"/>
              <w:rPr>
                <w:rFonts w:eastAsia="Times New Roman" w:cs="Times New Roman"/>
                <w:color w:val="1F1F1F"/>
                <w:szCs w:val="24"/>
              </w:rPr>
            </w:pPr>
            <w:r>
              <w:rPr>
                <w:rFonts w:eastAsia="Times New Roman" w:cs="Times New Roman"/>
                <w:color w:val="1F1F1F"/>
                <w:szCs w:val="24"/>
              </w:rPr>
              <w:t>Suhu titik embun 2m (°C)</w:t>
            </w:r>
          </w:p>
        </w:tc>
        <w:tc>
          <w:tcPr>
            <w:tcW w:w="990" w:type="dxa"/>
            <w:vAlign w:val="center"/>
          </w:tcPr>
          <w:p w14:paraId="5B817D58">
            <w:pPr>
              <w:spacing w:after="0" w:line="240" w:lineRule="auto"/>
              <w:jc w:val="center"/>
              <w:rPr>
                <w:rFonts w:eastAsia="Times New Roman" w:cs="Times New Roman"/>
                <w:color w:val="1F1F1F"/>
                <w:szCs w:val="24"/>
              </w:rPr>
            </w:pPr>
            <w:r>
              <w:rPr>
                <w:rFonts w:eastAsia="Times New Roman" w:cs="Times New Roman"/>
                <w:color w:val="1F1F1F"/>
                <w:szCs w:val="24"/>
              </w:rPr>
              <w:t>22.32</w:t>
            </w:r>
          </w:p>
        </w:tc>
      </w:tr>
      <w:tr w14:paraId="1687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0832C69F">
            <w:pPr>
              <w:spacing w:after="0" w:line="240" w:lineRule="auto"/>
              <w:jc w:val="center"/>
              <w:rPr>
                <w:rFonts w:eastAsia="Times New Roman" w:cs="Times New Roman"/>
                <w:color w:val="1F1F1F"/>
                <w:szCs w:val="24"/>
              </w:rPr>
            </w:pPr>
          </w:p>
        </w:tc>
        <w:tc>
          <w:tcPr>
            <w:tcW w:w="1456" w:type="dxa"/>
            <w:vMerge w:val="continue"/>
            <w:vAlign w:val="center"/>
          </w:tcPr>
          <w:p w14:paraId="1EFA7C35">
            <w:pPr>
              <w:spacing w:after="0" w:line="240" w:lineRule="auto"/>
              <w:jc w:val="center"/>
              <w:rPr>
                <w:rFonts w:eastAsia="Times New Roman" w:cs="Times New Roman"/>
                <w:sz w:val="20"/>
                <w:szCs w:val="20"/>
              </w:rPr>
            </w:pPr>
          </w:p>
        </w:tc>
        <w:tc>
          <w:tcPr>
            <w:tcW w:w="2441" w:type="dxa"/>
            <w:vAlign w:val="center"/>
          </w:tcPr>
          <w:p w14:paraId="0A7BCACF">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u10</w:t>
            </w:r>
          </w:p>
        </w:tc>
        <w:tc>
          <w:tcPr>
            <w:tcW w:w="2590" w:type="dxa"/>
            <w:vAlign w:val="center"/>
          </w:tcPr>
          <w:p w14:paraId="4A201A9A">
            <w:pPr>
              <w:spacing w:after="0" w:line="240" w:lineRule="auto"/>
              <w:jc w:val="center"/>
              <w:rPr>
                <w:rFonts w:eastAsia="Times New Roman" w:cs="Times New Roman"/>
                <w:color w:val="1F1F1F"/>
                <w:szCs w:val="24"/>
              </w:rPr>
            </w:pPr>
            <w:r>
              <w:rPr>
                <w:rFonts w:eastAsia="Times New Roman" w:cs="Times New Roman"/>
                <w:color w:val="1F1F1F"/>
                <w:szCs w:val="24"/>
              </w:rPr>
              <w:t>Komponen angin u 10m (m/s)</w:t>
            </w:r>
          </w:p>
        </w:tc>
        <w:tc>
          <w:tcPr>
            <w:tcW w:w="990" w:type="dxa"/>
            <w:vAlign w:val="center"/>
          </w:tcPr>
          <w:p w14:paraId="4CA950A6">
            <w:pPr>
              <w:spacing w:after="0" w:line="240" w:lineRule="auto"/>
              <w:jc w:val="center"/>
              <w:rPr>
                <w:rFonts w:eastAsia="Times New Roman" w:cs="Times New Roman"/>
                <w:color w:val="1F1F1F"/>
                <w:szCs w:val="24"/>
              </w:rPr>
            </w:pPr>
            <w:r>
              <w:rPr>
                <w:rFonts w:eastAsia="Times New Roman" w:cs="Times New Roman"/>
                <w:color w:val="1F1F1F"/>
                <w:szCs w:val="24"/>
              </w:rPr>
              <w:t>0.56</w:t>
            </w:r>
          </w:p>
        </w:tc>
      </w:tr>
      <w:tr w14:paraId="3864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2EF98C6">
            <w:pPr>
              <w:spacing w:after="0" w:line="240" w:lineRule="auto"/>
              <w:jc w:val="center"/>
              <w:rPr>
                <w:rFonts w:eastAsia="Times New Roman" w:cs="Times New Roman"/>
                <w:color w:val="1F1F1F"/>
                <w:szCs w:val="24"/>
              </w:rPr>
            </w:pPr>
          </w:p>
        </w:tc>
        <w:tc>
          <w:tcPr>
            <w:tcW w:w="1456" w:type="dxa"/>
            <w:vMerge w:val="continue"/>
            <w:vAlign w:val="center"/>
          </w:tcPr>
          <w:p w14:paraId="6CC4D991">
            <w:pPr>
              <w:spacing w:after="0" w:line="240" w:lineRule="auto"/>
              <w:jc w:val="center"/>
              <w:rPr>
                <w:rFonts w:eastAsia="Times New Roman" w:cs="Times New Roman"/>
                <w:sz w:val="20"/>
                <w:szCs w:val="20"/>
              </w:rPr>
            </w:pPr>
          </w:p>
        </w:tc>
        <w:tc>
          <w:tcPr>
            <w:tcW w:w="2441" w:type="dxa"/>
            <w:vAlign w:val="center"/>
          </w:tcPr>
          <w:p w14:paraId="56DB7068">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v10</w:t>
            </w:r>
          </w:p>
        </w:tc>
        <w:tc>
          <w:tcPr>
            <w:tcW w:w="2590" w:type="dxa"/>
            <w:vAlign w:val="center"/>
          </w:tcPr>
          <w:p w14:paraId="3B7432CD">
            <w:pPr>
              <w:spacing w:after="0" w:line="240" w:lineRule="auto"/>
              <w:jc w:val="center"/>
              <w:rPr>
                <w:rFonts w:eastAsia="Times New Roman" w:cs="Times New Roman"/>
                <w:color w:val="1F1F1F"/>
                <w:szCs w:val="24"/>
              </w:rPr>
            </w:pPr>
            <w:r>
              <w:rPr>
                <w:rFonts w:eastAsia="Times New Roman" w:cs="Times New Roman"/>
                <w:color w:val="1F1F1F"/>
                <w:szCs w:val="24"/>
              </w:rPr>
              <w:t>Komponen angin v 10m (m/s)</w:t>
            </w:r>
          </w:p>
        </w:tc>
        <w:tc>
          <w:tcPr>
            <w:tcW w:w="990" w:type="dxa"/>
            <w:vAlign w:val="center"/>
          </w:tcPr>
          <w:p w14:paraId="73CDC753">
            <w:pPr>
              <w:spacing w:after="0" w:line="240" w:lineRule="auto"/>
              <w:jc w:val="center"/>
              <w:rPr>
                <w:rFonts w:eastAsia="Times New Roman" w:cs="Times New Roman"/>
                <w:color w:val="1F1F1F"/>
                <w:szCs w:val="24"/>
              </w:rPr>
            </w:pPr>
            <w:r>
              <w:rPr>
                <w:rFonts w:eastAsia="Times New Roman" w:cs="Times New Roman"/>
                <w:color w:val="1F1F1F"/>
                <w:szCs w:val="24"/>
              </w:rPr>
              <w:t>-0.37</w:t>
            </w:r>
          </w:p>
        </w:tc>
      </w:tr>
      <w:tr w14:paraId="3153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088345B1">
            <w:pPr>
              <w:spacing w:after="0" w:line="240" w:lineRule="auto"/>
              <w:jc w:val="center"/>
              <w:rPr>
                <w:rFonts w:eastAsia="Times New Roman" w:cs="Times New Roman"/>
                <w:color w:val="1F1F1F"/>
                <w:szCs w:val="24"/>
              </w:rPr>
            </w:pPr>
          </w:p>
        </w:tc>
        <w:tc>
          <w:tcPr>
            <w:tcW w:w="1456" w:type="dxa"/>
            <w:vMerge w:val="continue"/>
            <w:vAlign w:val="center"/>
          </w:tcPr>
          <w:p w14:paraId="2F1556D7">
            <w:pPr>
              <w:spacing w:after="0" w:line="240" w:lineRule="auto"/>
              <w:jc w:val="center"/>
              <w:rPr>
                <w:rFonts w:eastAsia="Times New Roman" w:cs="Times New Roman"/>
                <w:sz w:val="20"/>
                <w:szCs w:val="20"/>
              </w:rPr>
            </w:pPr>
          </w:p>
        </w:tc>
        <w:tc>
          <w:tcPr>
            <w:tcW w:w="2441" w:type="dxa"/>
            <w:vAlign w:val="center"/>
          </w:tcPr>
          <w:p w14:paraId="60B15124">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rh</w:t>
            </w:r>
          </w:p>
        </w:tc>
        <w:tc>
          <w:tcPr>
            <w:tcW w:w="2590" w:type="dxa"/>
            <w:vAlign w:val="center"/>
          </w:tcPr>
          <w:p w14:paraId="0D82C685">
            <w:pPr>
              <w:spacing w:after="0" w:line="240" w:lineRule="auto"/>
              <w:jc w:val="center"/>
              <w:rPr>
                <w:rFonts w:eastAsia="Times New Roman" w:cs="Times New Roman"/>
                <w:color w:val="1F1F1F"/>
                <w:szCs w:val="24"/>
              </w:rPr>
            </w:pPr>
            <w:r>
              <w:rPr>
                <w:rFonts w:eastAsia="Times New Roman" w:cs="Times New Roman"/>
                <w:color w:val="1F1F1F"/>
                <w:szCs w:val="24"/>
              </w:rPr>
              <w:t>Kelembapan relatif (%)</w:t>
            </w:r>
          </w:p>
        </w:tc>
        <w:tc>
          <w:tcPr>
            <w:tcW w:w="990" w:type="dxa"/>
            <w:vAlign w:val="center"/>
          </w:tcPr>
          <w:p w14:paraId="6D069A21">
            <w:pPr>
              <w:spacing w:after="0" w:line="240" w:lineRule="auto"/>
              <w:jc w:val="center"/>
              <w:rPr>
                <w:rFonts w:eastAsia="Times New Roman" w:cs="Times New Roman"/>
                <w:color w:val="1F1F1F"/>
                <w:szCs w:val="24"/>
              </w:rPr>
            </w:pPr>
            <w:r>
              <w:rPr>
                <w:rFonts w:eastAsia="Times New Roman" w:cs="Times New Roman"/>
                <w:color w:val="1F1F1F"/>
                <w:szCs w:val="24"/>
              </w:rPr>
              <w:t>87.61</w:t>
            </w:r>
          </w:p>
        </w:tc>
      </w:tr>
      <w:tr w14:paraId="3765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98E672B">
            <w:pPr>
              <w:spacing w:after="0" w:line="240" w:lineRule="auto"/>
              <w:jc w:val="center"/>
              <w:rPr>
                <w:rFonts w:eastAsia="Times New Roman" w:cs="Times New Roman"/>
                <w:color w:val="1F1F1F"/>
                <w:szCs w:val="24"/>
              </w:rPr>
            </w:pPr>
          </w:p>
        </w:tc>
        <w:tc>
          <w:tcPr>
            <w:tcW w:w="1456" w:type="dxa"/>
            <w:vMerge w:val="continue"/>
            <w:vAlign w:val="center"/>
          </w:tcPr>
          <w:p w14:paraId="6718DE8B">
            <w:pPr>
              <w:spacing w:after="0" w:line="240" w:lineRule="auto"/>
              <w:jc w:val="center"/>
              <w:rPr>
                <w:rFonts w:eastAsia="Times New Roman" w:cs="Times New Roman"/>
                <w:sz w:val="20"/>
                <w:szCs w:val="20"/>
              </w:rPr>
            </w:pPr>
          </w:p>
        </w:tc>
        <w:tc>
          <w:tcPr>
            <w:tcW w:w="2441" w:type="dxa"/>
            <w:vAlign w:val="center"/>
          </w:tcPr>
          <w:p w14:paraId="401E7980">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sc_[fitur]</w:t>
            </w:r>
          </w:p>
        </w:tc>
        <w:tc>
          <w:tcPr>
            <w:tcW w:w="2590" w:type="dxa"/>
            <w:vAlign w:val="center"/>
          </w:tcPr>
          <w:p w14:paraId="6C27F8C4">
            <w:pPr>
              <w:spacing w:after="0" w:line="240" w:lineRule="auto"/>
              <w:jc w:val="center"/>
              <w:rPr>
                <w:rFonts w:eastAsia="Times New Roman" w:cs="Times New Roman"/>
                <w:color w:val="1F1F1F"/>
                <w:szCs w:val="24"/>
              </w:rPr>
            </w:pPr>
            <w:r>
              <w:rPr>
                <w:rFonts w:eastAsia="Times New Roman" w:cs="Times New Roman"/>
                <w:color w:val="1F1F1F"/>
                <w:szCs w:val="24"/>
              </w:rPr>
              <w:t xml:space="preserve">Versi </w:t>
            </w:r>
            <w:r>
              <w:rPr>
                <w:rFonts w:eastAsia="Times New Roman" w:cs="Times New Roman"/>
                <w:i/>
                <w:iCs/>
                <w:color w:val="1F1F1F"/>
                <w:szCs w:val="24"/>
              </w:rPr>
              <w:t>scaled</w:t>
            </w:r>
            <w:r>
              <w:rPr>
                <w:rFonts w:eastAsia="Times New Roman" w:cs="Times New Roman"/>
                <w:color w:val="1F1F1F"/>
                <w:szCs w:val="24"/>
              </w:rPr>
              <w:t xml:space="preserve"> fitur meteorologi</w:t>
            </w:r>
          </w:p>
        </w:tc>
        <w:tc>
          <w:tcPr>
            <w:tcW w:w="990" w:type="dxa"/>
            <w:vAlign w:val="center"/>
          </w:tcPr>
          <w:p w14:paraId="547F6C2A">
            <w:pPr>
              <w:spacing w:after="0" w:line="240" w:lineRule="auto"/>
              <w:jc w:val="center"/>
              <w:rPr>
                <w:rFonts w:eastAsia="Times New Roman" w:cs="Times New Roman"/>
                <w:color w:val="1F1F1F"/>
                <w:szCs w:val="24"/>
              </w:rPr>
            </w:pPr>
            <w:r>
              <w:rPr>
                <w:rFonts w:eastAsia="Times New Roman" w:cs="Times New Roman"/>
                <w:color w:val="1F1F1F"/>
                <w:szCs w:val="24"/>
              </w:rPr>
              <w:t>(0.xx)</w:t>
            </w:r>
          </w:p>
        </w:tc>
      </w:tr>
      <w:tr w14:paraId="7A23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4A69E9CD">
            <w:pPr>
              <w:spacing w:after="0" w:line="240" w:lineRule="auto"/>
              <w:jc w:val="center"/>
              <w:rPr>
                <w:rFonts w:eastAsia="Times New Roman" w:cs="Times New Roman"/>
                <w:color w:val="1F1F1F"/>
                <w:szCs w:val="24"/>
              </w:rPr>
            </w:pPr>
            <w:r>
              <w:rPr>
                <w:rFonts w:eastAsia="Times New Roman" w:cs="Times New Roman"/>
                <w:bCs/>
                <w:color w:val="1F1F1F"/>
                <w:szCs w:val="24"/>
              </w:rPr>
              <w:t>6.</w:t>
            </w:r>
          </w:p>
        </w:tc>
        <w:tc>
          <w:tcPr>
            <w:tcW w:w="1456" w:type="dxa"/>
            <w:vMerge w:val="restart"/>
            <w:vAlign w:val="center"/>
          </w:tcPr>
          <w:p w14:paraId="5C3B3C1B">
            <w:pPr>
              <w:spacing w:after="0" w:line="240" w:lineRule="auto"/>
              <w:jc w:val="center"/>
              <w:rPr>
                <w:rFonts w:eastAsia="Times New Roman" w:cs="Times New Roman"/>
                <w:color w:val="1F1F1F"/>
                <w:szCs w:val="24"/>
              </w:rPr>
            </w:pPr>
            <w:r>
              <w:rPr>
                <w:rFonts w:eastAsia="Times New Roman" w:cs="Times New Roman"/>
                <w:bCs/>
                <w:color w:val="1F1F1F"/>
                <w:szCs w:val="24"/>
              </w:rPr>
              <w:t>Indeks Iklim</w:t>
            </w:r>
          </w:p>
        </w:tc>
        <w:tc>
          <w:tcPr>
            <w:tcW w:w="2441" w:type="dxa"/>
            <w:vAlign w:val="center"/>
          </w:tcPr>
          <w:p w14:paraId="677DC175">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qbo</w:t>
            </w:r>
          </w:p>
        </w:tc>
        <w:tc>
          <w:tcPr>
            <w:tcW w:w="2590" w:type="dxa"/>
            <w:vAlign w:val="center"/>
          </w:tcPr>
          <w:p w14:paraId="5E7383B0">
            <w:pPr>
              <w:spacing w:after="0" w:line="240" w:lineRule="auto"/>
              <w:jc w:val="center"/>
              <w:rPr>
                <w:rFonts w:eastAsia="Times New Roman" w:cs="Times New Roman"/>
                <w:color w:val="1F1F1F"/>
                <w:szCs w:val="24"/>
              </w:rPr>
            </w:pPr>
            <w:r>
              <w:rPr>
                <w:rFonts w:eastAsia="Times New Roman" w:cs="Times New Roman"/>
                <w:color w:val="1F1F1F"/>
                <w:szCs w:val="24"/>
              </w:rPr>
              <w:t>Indeks QBO (</w:t>
            </w:r>
            <w:r>
              <w:rPr>
                <w:rFonts w:eastAsia="Times New Roman" w:cs="Times New Roman"/>
                <w:i/>
                <w:iCs/>
                <w:color w:val="1F1F1F"/>
                <w:szCs w:val="24"/>
              </w:rPr>
              <w:t>Quasi-Biennial Oscillation</w:t>
            </w:r>
            <w:r>
              <w:rPr>
                <w:rFonts w:eastAsia="Times New Roman" w:cs="Times New Roman"/>
                <w:color w:val="1F1F1F"/>
                <w:szCs w:val="24"/>
              </w:rPr>
              <w:t>)</w:t>
            </w:r>
          </w:p>
        </w:tc>
        <w:tc>
          <w:tcPr>
            <w:tcW w:w="990" w:type="dxa"/>
            <w:vAlign w:val="center"/>
          </w:tcPr>
          <w:p w14:paraId="108FDD25">
            <w:pPr>
              <w:spacing w:after="0" w:line="240" w:lineRule="auto"/>
              <w:jc w:val="center"/>
              <w:rPr>
                <w:rFonts w:eastAsia="Times New Roman" w:cs="Times New Roman"/>
                <w:color w:val="1F1F1F"/>
                <w:szCs w:val="24"/>
              </w:rPr>
            </w:pPr>
            <w:r>
              <w:rPr>
                <w:rFonts w:eastAsia="Times New Roman" w:cs="Times New Roman"/>
                <w:color w:val="1F1F1F"/>
                <w:szCs w:val="24"/>
              </w:rPr>
              <w:t>-25.19</w:t>
            </w:r>
          </w:p>
        </w:tc>
      </w:tr>
      <w:tr w14:paraId="4808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3EBDA414">
            <w:pPr>
              <w:spacing w:after="0" w:line="240" w:lineRule="auto"/>
              <w:jc w:val="center"/>
              <w:rPr>
                <w:rFonts w:eastAsia="Times New Roman" w:cs="Times New Roman"/>
                <w:color w:val="1F1F1F"/>
                <w:szCs w:val="24"/>
              </w:rPr>
            </w:pPr>
          </w:p>
        </w:tc>
        <w:tc>
          <w:tcPr>
            <w:tcW w:w="1456" w:type="dxa"/>
            <w:vMerge w:val="continue"/>
            <w:vAlign w:val="center"/>
          </w:tcPr>
          <w:p w14:paraId="0C4C7919">
            <w:pPr>
              <w:spacing w:after="0" w:line="240" w:lineRule="auto"/>
              <w:jc w:val="center"/>
              <w:rPr>
                <w:rFonts w:eastAsia="Times New Roman" w:cs="Times New Roman"/>
                <w:sz w:val="20"/>
                <w:szCs w:val="20"/>
              </w:rPr>
            </w:pPr>
          </w:p>
        </w:tc>
        <w:tc>
          <w:tcPr>
            <w:tcW w:w="2441" w:type="dxa"/>
            <w:vAlign w:val="center"/>
          </w:tcPr>
          <w:p w14:paraId="6CCE61C9">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rmm1_mean</w:t>
            </w:r>
          </w:p>
        </w:tc>
        <w:tc>
          <w:tcPr>
            <w:tcW w:w="2590" w:type="dxa"/>
            <w:vAlign w:val="center"/>
          </w:tcPr>
          <w:p w14:paraId="448A5494">
            <w:pPr>
              <w:spacing w:after="0" w:line="240" w:lineRule="auto"/>
              <w:jc w:val="center"/>
              <w:rPr>
                <w:rFonts w:eastAsia="Times New Roman" w:cs="Times New Roman"/>
                <w:color w:val="1F1F1F"/>
                <w:szCs w:val="24"/>
              </w:rPr>
            </w:pPr>
            <w:r>
              <w:rPr>
                <w:rFonts w:eastAsia="Times New Roman" w:cs="Times New Roman"/>
                <w:color w:val="1F1F1F"/>
                <w:szCs w:val="24"/>
              </w:rPr>
              <w:t>Komponen 1 MJO (RMM1)</w:t>
            </w:r>
          </w:p>
        </w:tc>
        <w:tc>
          <w:tcPr>
            <w:tcW w:w="990" w:type="dxa"/>
            <w:vAlign w:val="center"/>
          </w:tcPr>
          <w:p w14:paraId="09DB95A6">
            <w:pPr>
              <w:spacing w:after="0" w:line="240" w:lineRule="auto"/>
              <w:jc w:val="center"/>
              <w:rPr>
                <w:rFonts w:eastAsia="Times New Roman" w:cs="Times New Roman"/>
                <w:color w:val="1F1F1F"/>
                <w:szCs w:val="24"/>
              </w:rPr>
            </w:pPr>
            <w:r>
              <w:rPr>
                <w:rFonts w:eastAsia="Times New Roman" w:cs="Times New Roman"/>
                <w:color w:val="1F1F1F"/>
                <w:szCs w:val="24"/>
              </w:rPr>
              <w:t>0.25</w:t>
            </w:r>
          </w:p>
        </w:tc>
      </w:tr>
      <w:tr w14:paraId="53BB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11C705ED">
            <w:pPr>
              <w:spacing w:after="0" w:line="240" w:lineRule="auto"/>
              <w:jc w:val="center"/>
              <w:rPr>
                <w:rFonts w:eastAsia="Times New Roman" w:cs="Times New Roman"/>
                <w:color w:val="1F1F1F"/>
                <w:szCs w:val="24"/>
              </w:rPr>
            </w:pPr>
          </w:p>
        </w:tc>
        <w:tc>
          <w:tcPr>
            <w:tcW w:w="1456" w:type="dxa"/>
            <w:vMerge w:val="continue"/>
            <w:vAlign w:val="center"/>
          </w:tcPr>
          <w:p w14:paraId="1B3B08CD">
            <w:pPr>
              <w:spacing w:after="0" w:line="240" w:lineRule="auto"/>
              <w:jc w:val="center"/>
              <w:rPr>
                <w:rFonts w:eastAsia="Times New Roman" w:cs="Times New Roman"/>
                <w:sz w:val="20"/>
                <w:szCs w:val="20"/>
              </w:rPr>
            </w:pPr>
          </w:p>
        </w:tc>
        <w:tc>
          <w:tcPr>
            <w:tcW w:w="2441" w:type="dxa"/>
            <w:vAlign w:val="center"/>
          </w:tcPr>
          <w:p w14:paraId="42CD60B0">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rmm2_mean</w:t>
            </w:r>
          </w:p>
        </w:tc>
        <w:tc>
          <w:tcPr>
            <w:tcW w:w="2590" w:type="dxa"/>
            <w:vAlign w:val="center"/>
          </w:tcPr>
          <w:p w14:paraId="5C030CF6">
            <w:pPr>
              <w:spacing w:after="0" w:line="240" w:lineRule="auto"/>
              <w:jc w:val="center"/>
              <w:rPr>
                <w:rFonts w:eastAsia="Times New Roman" w:cs="Times New Roman"/>
                <w:color w:val="1F1F1F"/>
                <w:szCs w:val="24"/>
              </w:rPr>
            </w:pPr>
            <w:r>
              <w:rPr>
                <w:rFonts w:eastAsia="Times New Roman" w:cs="Times New Roman"/>
                <w:color w:val="1F1F1F"/>
                <w:szCs w:val="24"/>
              </w:rPr>
              <w:t>Komponen 2 MJO (RMM2)</w:t>
            </w:r>
          </w:p>
        </w:tc>
        <w:tc>
          <w:tcPr>
            <w:tcW w:w="990" w:type="dxa"/>
            <w:vAlign w:val="center"/>
          </w:tcPr>
          <w:p w14:paraId="7C152F14">
            <w:pPr>
              <w:spacing w:after="0" w:line="240" w:lineRule="auto"/>
              <w:jc w:val="center"/>
              <w:rPr>
                <w:rFonts w:eastAsia="Times New Roman" w:cs="Times New Roman"/>
                <w:color w:val="1F1F1F"/>
                <w:szCs w:val="24"/>
              </w:rPr>
            </w:pPr>
            <w:r>
              <w:rPr>
                <w:rFonts w:eastAsia="Times New Roman" w:cs="Times New Roman"/>
                <w:color w:val="1F1F1F"/>
                <w:szCs w:val="24"/>
              </w:rPr>
              <w:t>-0.95</w:t>
            </w:r>
          </w:p>
        </w:tc>
      </w:tr>
      <w:tr w14:paraId="4A44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6D6BA1F6">
            <w:pPr>
              <w:spacing w:after="0" w:line="240" w:lineRule="auto"/>
              <w:jc w:val="center"/>
              <w:rPr>
                <w:rFonts w:eastAsia="Times New Roman" w:cs="Times New Roman"/>
                <w:color w:val="1F1F1F"/>
                <w:szCs w:val="24"/>
              </w:rPr>
            </w:pPr>
          </w:p>
        </w:tc>
        <w:tc>
          <w:tcPr>
            <w:tcW w:w="1456" w:type="dxa"/>
            <w:vMerge w:val="continue"/>
            <w:vAlign w:val="center"/>
          </w:tcPr>
          <w:p w14:paraId="55314ECE">
            <w:pPr>
              <w:spacing w:after="0" w:line="240" w:lineRule="auto"/>
              <w:jc w:val="center"/>
              <w:rPr>
                <w:rFonts w:eastAsia="Times New Roman" w:cs="Times New Roman"/>
                <w:sz w:val="20"/>
                <w:szCs w:val="20"/>
              </w:rPr>
            </w:pPr>
          </w:p>
        </w:tc>
        <w:tc>
          <w:tcPr>
            <w:tcW w:w="2441" w:type="dxa"/>
            <w:vAlign w:val="center"/>
          </w:tcPr>
          <w:p w14:paraId="5FA9192A">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mjo_amp_mean</w:t>
            </w:r>
          </w:p>
        </w:tc>
        <w:tc>
          <w:tcPr>
            <w:tcW w:w="2590" w:type="dxa"/>
            <w:vAlign w:val="center"/>
          </w:tcPr>
          <w:p w14:paraId="75374269">
            <w:pPr>
              <w:spacing w:after="0" w:line="240" w:lineRule="auto"/>
              <w:jc w:val="center"/>
              <w:rPr>
                <w:rFonts w:eastAsia="Times New Roman" w:cs="Times New Roman"/>
                <w:color w:val="1F1F1F"/>
                <w:szCs w:val="24"/>
              </w:rPr>
            </w:pPr>
            <w:r>
              <w:rPr>
                <w:rFonts w:eastAsia="Times New Roman" w:cs="Times New Roman"/>
                <w:color w:val="1F1F1F"/>
                <w:szCs w:val="24"/>
              </w:rPr>
              <w:t>Amplitudo MJO</w:t>
            </w:r>
          </w:p>
        </w:tc>
        <w:tc>
          <w:tcPr>
            <w:tcW w:w="990" w:type="dxa"/>
            <w:vAlign w:val="center"/>
          </w:tcPr>
          <w:p w14:paraId="63FBB466">
            <w:pPr>
              <w:spacing w:after="0" w:line="240" w:lineRule="auto"/>
              <w:jc w:val="center"/>
              <w:rPr>
                <w:rFonts w:eastAsia="Times New Roman" w:cs="Times New Roman"/>
                <w:color w:val="1F1F1F"/>
                <w:szCs w:val="24"/>
              </w:rPr>
            </w:pPr>
            <w:r>
              <w:rPr>
                <w:rFonts w:eastAsia="Times New Roman" w:cs="Times New Roman"/>
                <w:color w:val="1F1F1F"/>
                <w:szCs w:val="24"/>
              </w:rPr>
              <w:t>1.04</w:t>
            </w:r>
          </w:p>
        </w:tc>
      </w:tr>
      <w:tr w14:paraId="0592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42598C77">
            <w:pPr>
              <w:spacing w:after="0" w:line="240" w:lineRule="auto"/>
              <w:jc w:val="center"/>
              <w:rPr>
                <w:rFonts w:eastAsia="Times New Roman" w:cs="Times New Roman"/>
                <w:color w:val="1F1F1F"/>
                <w:szCs w:val="24"/>
              </w:rPr>
            </w:pPr>
          </w:p>
        </w:tc>
        <w:tc>
          <w:tcPr>
            <w:tcW w:w="1456" w:type="dxa"/>
            <w:vMerge w:val="continue"/>
            <w:vAlign w:val="center"/>
          </w:tcPr>
          <w:p w14:paraId="006E97F6">
            <w:pPr>
              <w:spacing w:after="0" w:line="240" w:lineRule="auto"/>
              <w:jc w:val="center"/>
              <w:rPr>
                <w:rFonts w:eastAsia="Times New Roman" w:cs="Times New Roman"/>
                <w:sz w:val="20"/>
                <w:szCs w:val="20"/>
              </w:rPr>
            </w:pPr>
          </w:p>
        </w:tc>
        <w:tc>
          <w:tcPr>
            <w:tcW w:w="2441" w:type="dxa"/>
            <w:vAlign w:val="center"/>
          </w:tcPr>
          <w:p w14:paraId="2DC86CF8">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mjo_active_frac</w:t>
            </w:r>
          </w:p>
        </w:tc>
        <w:tc>
          <w:tcPr>
            <w:tcW w:w="2590" w:type="dxa"/>
            <w:vAlign w:val="center"/>
          </w:tcPr>
          <w:p w14:paraId="7D092D33">
            <w:pPr>
              <w:spacing w:after="0" w:line="240" w:lineRule="auto"/>
              <w:jc w:val="center"/>
              <w:rPr>
                <w:rFonts w:eastAsia="Times New Roman" w:cs="Times New Roman"/>
                <w:color w:val="1F1F1F"/>
                <w:szCs w:val="24"/>
              </w:rPr>
            </w:pPr>
            <w:r>
              <w:rPr>
                <w:rFonts w:eastAsia="Times New Roman" w:cs="Times New Roman"/>
                <w:color w:val="1F1F1F"/>
                <w:szCs w:val="24"/>
              </w:rPr>
              <w:t>Fraksi keaktifan MJO dalam dasarian</w:t>
            </w:r>
          </w:p>
        </w:tc>
        <w:tc>
          <w:tcPr>
            <w:tcW w:w="990" w:type="dxa"/>
            <w:vAlign w:val="center"/>
          </w:tcPr>
          <w:p w14:paraId="6417F154">
            <w:pPr>
              <w:spacing w:after="0" w:line="240" w:lineRule="auto"/>
              <w:jc w:val="center"/>
              <w:rPr>
                <w:rFonts w:eastAsia="Times New Roman" w:cs="Times New Roman"/>
                <w:color w:val="1F1F1F"/>
                <w:szCs w:val="24"/>
              </w:rPr>
            </w:pPr>
            <w:r>
              <w:rPr>
                <w:rFonts w:eastAsia="Times New Roman" w:cs="Times New Roman"/>
                <w:color w:val="1F1F1F"/>
                <w:szCs w:val="24"/>
              </w:rPr>
              <w:t>0.50</w:t>
            </w:r>
          </w:p>
        </w:tc>
      </w:tr>
      <w:tr w14:paraId="3E9C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4DFECEBA">
            <w:pPr>
              <w:spacing w:after="0" w:line="240" w:lineRule="auto"/>
              <w:jc w:val="center"/>
              <w:rPr>
                <w:rFonts w:eastAsia="Times New Roman" w:cs="Times New Roman"/>
                <w:color w:val="1F1F1F"/>
                <w:szCs w:val="24"/>
              </w:rPr>
            </w:pPr>
          </w:p>
        </w:tc>
        <w:tc>
          <w:tcPr>
            <w:tcW w:w="1456" w:type="dxa"/>
            <w:vMerge w:val="continue"/>
            <w:vAlign w:val="center"/>
          </w:tcPr>
          <w:p w14:paraId="434DA3A4">
            <w:pPr>
              <w:spacing w:after="0" w:line="240" w:lineRule="auto"/>
              <w:jc w:val="center"/>
              <w:rPr>
                <w:rFonts w:eastAsia="Times New Roman" w:cs="Times New Roman"/>
                <w:sz w:val="20"/>
                <w:szCs w:val="20"/>
              </w:rPr>
            </w:pPr>
          </w:p>
        </w:tc>
        <w:tc>
          <w:tcPr>
            <w:tcW w:w="2441" w:type="dxa"/>
            <w:vAlign w:val="center"/>
          </w:tcPr>
          <w:p w14:paraId="148B9DE7">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mjo_phase_sin_mean</w:t>
            </w:r>
          </w:p>
        </w:tc>
        <w:tc>
          <w:tcPr>
            <w:tcW w:w="2590" w:type="dxa"/>
            <w:vAlign w:val="center"/>
          </w:tcPr>
          <w:p w14:paraId="4B3559CB">
            <w:pPr>
              <w:spacing w:after="0" w:line="240" w:lineRule="auto"/>
              <w:jc w:val="center"/>
              <w:rPr>
                <w:rFonts w:eastAsia="Times New Roman" w:cs="Times New Roman"/>
                <w:color w:val="1F1F1F"/>
                <w:szCs w:val="24"/>
              </w:rPr>
            </w:pPr>
            <w:r>
              <w:rPr>
                <w:rFonts w:eastAsia="Times New Roman" w:cs="Times New Roman"/>
                <w:color w:val="1F1F1F"/>
                <w:szCs w:val="24"/>
              </w:rPr>
              <w:t>Sinus fase MJO</w:t>
            </w:r>
          </w:p>
        </w:tc>
        <w:tc>
          <w:tcPr>
            <w:tcW w:w="990" w:type="dxa"/>
            <w:vAlign w:val="center"/>
          </w:tcPr>
          <w:p w14:paraId="58C2A766">
            <w:pPr>
              <w:spacing w:after="0" w:line="240" w:lineRule="auto"/>
              <w:jc w:val="center"/>
              <w:rPr>
                <w:rFonts w:eastAsia="Times New Roman" w:cs="Times New Roman"/>
                <w:color w:val="1F1F1F"/>
                <w:szCs w:val="24"/>
              </w:rPr>
            </w:pPr>
            <w:r>
              <w:rPr>
                <w:rFonts w:eastAsia="Times New Roman" w:cs="Times New Roman"/>
                <w:color w:val="1F1F1F"/>
                <w:szCs w:val="24"/>
              </w:rPr>
              <w:t>-0.97</w:t>
            </w:r>
          </w:p>
        </w:tc>
      </w:tr>
      <w:tr w14:paraId="2416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1FB365F4">
            <w:pPr>
              <w:spacing w:after="0" w:line="240" w:lineRule="auto"/>
              <w:jc w:val="center"/>
              <w:rPr>
                <w:rFonts w:eastAsia="Times New Roman" w:cs="Times New Roman"/>
                <w:color w:val="1F1F1F"/>
                <w:szCs w:val="24"/>
              </w:rPr>
            </w:pPr>
          </w:p>
        </w:tc>
        <w:tc>
          <w:tcPr>
            <w:tcW w:w="1456" w:type="dxa"/>
            <w:vMerge w:val="continue"/>
            <w:vAlign w:val="center"/>
          </w:tcPr>
          <w:p w14:paraId="405B0334">
            <w:pPr>
              <w:spacing w:after="0" w:line="240" w:lineRule="auto"/>
              <w:jc w:val="center"/>
              <w:rPr>
                <w:rFonts w:eastAsia="Times New Roman" w:cs="Times New Roman"/>
                <w:sz w:val="20"/>
                <w:szCs w:val="20"/>
              </w:rPr>
            </w:pPr>
          </w:p>
        </w:tc>
        <w:tc>
          <w:tcPr>
            <w:tcW w:w="2441" w:type="dxa"/>
            <w:vAlign w:val="center"/>
          </w:tcPr>
          <w:p w14:paraId="7E96B941">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mjo_phase_cos_mean</w:t>
            </w:r>
          </w:p>
        </w:tc>
        <w:tc>
          <w:tcPr>
            <w:tcW w:w="2590" w:type="dxa"/>
            <w:vAlign w:val="center"/>
          </w:tcPr>
          <w:p w14:paraId="774DEADF">
            <w:pPr>
              <w:spacing w:after="0" w:line="240" w:lineRule="auto"/>
              <w:jc w:val="center"/>
              <w:rPr>
                <w:rFonts w:eastAsia="Times New Roman" w:cs="Times New Roman"/>
                <w:color w:val="1F1F1F"/>
                <w:szCs w:val="24"/>
              </w:rPr>
            </w:pPr>
            <w:r>
              <w:rPr>
                <w:rFonts w:eastAsia="Times New Roman" w:cs="Times New Roman"/>
                <w:color w:val="1F1F1F"/>
                <w:szCs w:val="24"/>
              </w:rPr>
              <w:t>Kosinus fase MJO</w:t>
            </w:r>
          </w:p>
        </w:tc>
        <w:tc>
          <w:tcPr>
            <w:tcW w:w="990" w:type="dxa"/>
            <w:vAlign w:val="center"/>
          </w:tcPr>
          <w:p w14:paraId="03385B63">
            <w:pPr>
              <w:spacing w:after="0" w:line="240" w:lineRule="auto"/>
              <w:jc w:val="center"/>
              <w:rPr>
                <w:rFonts w:eastAsia="Times New Roman" w:cs="Times New Roman"/>
                <w:color w:val="1F1F1F"/>
                <w:szCs w:val="24"/>
              </w:rPr>
            </w:pPr>
            <w:r>
              <w:rPr>
                <w:rFonts w:eastAsia="Times New Roman" w:cs="Times New Roman"/>
                <w:color w:val="1F1F1F"/>
                <w:szCs w:val="24"/>
              </w:rPr>
              <w:t>0.25</w:t>
            </w:r>
          </w:p>
        </w:tc>
      </w:tr>
      <w:tr w14:paraId="056F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0F5955F5">
            <w:pPr>
              <w:spacing w:after="0" w:line="240" w:lineRule="auto"/>
              <w:jc w:val="center"/>
              <w:rPr>
                <w:rFonts w:eastAsia="Times New Roman" w:cs="Times New Roman"/>
                <w:color w:val="1F1F1F"/>
                <w:szCs w:val="24"/>
              </w:rPr>
            </w:pPr>
          </w:p>
        </w:tc>
        <w:tc>
          <w:tcPr>
            <w:tcW w:w="1456" w:type="dxa"/>
            <w:vMerge w:val="continue"/>
            <w:vAlign w:val="center"/>
          </w:tcPr>
          <w:p w14:paraId="7143464F">
            <w:pPr>
              <w:spacing w:after="0" w:line="240" w:lineRule="auto"/>
              <w:jc w:val="center"/>
              <w:rPr>
                <w:rFonts w:eastAsia="Times New Roman" w:cs="Times New Roman"/>
                <w:sz w:val="20"/>
                <w:szCs w:val="20"/>
              </w:rPr>
            </w:pPr>
          </w:p>
        </w:tc>
        <w:tc>
          <w:tcPr>
            <w:tcW w:w="2441" w:type="dxa"/>
            <w:vAlign w:val="center"/>
          </w:tcPr>
          <w:p w14:paraId="3CED2848">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nino34</w:t>
            </w:r>
          </w:p>
        </w:tc>
        <w:tc>
          <w:tcPr>
            <w:tcW w:w="2590" w:type="dxa"/>
            <w:vAlign w:val="center"/>
          </w:tcPr>
          <w:p w14:paraId="712F1511">
            <w:pPr>
              <w:spacing w:after="0" w:line="240" w:lineRule="auto"/>
              <w:jc w:val="center"/>
              <w:rPr>
                <w:rFonts w:eastAsia="Times New Roman" w:cs="Times New Roman"/>
                <w:color w:val="1F1F1F"/>
                <w:szCs w:val="24"/>
              </w:rPr>
            </w:pPr>
            <w:r>
              <w:rPr>
                <w:rFonts w:eastAsia="Times New Roman" w:cs="Times New Roman"/>
                <w:color w:val="1F1F1F"/>
                <w:szCs w:val="24"/>
              </w:rPr>
              <w:t>Indeks Nino3.4 (ENSO)</w:t>
            </w:r>
          </w:p>
        </w:tc>
        <w:tc>
          <w:tcPr>
            <w:tcW w:w="990" w:type="dxa"/>
            <w:vAlign w:val="center"/>
          </w:tcPr>
          <w:p w14:paraId="36480EE2">
            <w:pPr>
              <w:spacing w:after="0" w:line="240" w:lineRule="auto"/>
              <w:jc w:val="center"/>
              <w:rPr>
                <w:rFonts w:eastAsia="Times New Roman" w:cs="Times New Roman"/>
                <w:color w:val="1F1F1F"/>
                <w:szCs w:val="24"/>
              </w:rPr>
            </w:pPr>
            <w:r>
              <w:rPr>
                <w:rFonts w:eastAsia="Times New Roman" w:cs="Times New Roman"/>
                <w:color w:val="1F1F1F"/>
                <w:szCs w:val="24"/>
              </w:rPr>
              <w:t>26.02</w:t>
            </w:r>
          </w:p>
        </w:tc>
      </w:tr>
      <w:tr w14:paraId="7770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2C6D7189">
            <w:pPr>
              <w:spacing w:after="0" w:line="240" w:lineRule="auto"/>
              <w:jc w:val="center"/>
              <w:rPr>
                <w:rFonts w:eastAsia="Times New Roman" w:cs="Times New Roman"/>
                <w:color w:val="1F1F1F"/>
                <w:szCs w:val="24"/>
              </w:rPr>
            </w:pPr>
          </w:p>
        </w:tc>
        <w:tc>
          <w:tcPr>
            <w:tcW w:w="1456" w:type="dxa"/>
            <w:vMerge w:val="continue"/>
            <w:vAlign w:val="center"/>
          </w:tcPr>
          <w:p w14:paraId="7DA963F7">
            <w:pPr>
              <w:spacing w:after="0" w:line="240" w:lineRule="auto"/>
              <w:jc w:val="center"/>
              <w:rPr>
                <w:rFonts w:eastAsia="Times New Roman" w:cs="Times New Roman"/>
                <w:sz w:val="20"/>
                <w:szCs w:val="20"/>
              </w:rPr>
            </w:pPr>
          </w:p>
        </w:tc>
        <w:tc>
          <w:tcPr>
            <w:tcW w:w="2441" w:type="dxa"/>
            <w:vAlign w:val="center"/>
          </w:tcPr>
          <w:p w14:paraId="666CFAB5">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sc_[fitur]</w:t>
            </w:r>
          </w:p>
        </w:tc>
        <w:tc>
          <w:tcPr>
            <w:tcW w:w="2590" w:type="dxa"/>
            <w:vAlign w:val="center"/>
          </w:tcPr>
          <w:p w14:paraId="7DDAD4E1">
            <w:pPr>
              <w:spacing w:after="0" w:line="240" w:lineRule="auto"/>
              <w:jc w:val="center"/>
              <w:rPr>
                <w:rFonts w:eastAsia="Times New Roman" w:cs="Times New Roman"/>
                <w:color w:val="1F1F1F"/>
                <w:szCs w:val="24"/>
                <w:lang w:val="en-US"/>
              </w:rPr>
            </w:pPr>
            <w:r>
              <w:rPr>
                <w:rFonts w:eastAsia="Times New Roman" w:cs="Times New Roman"/>
                <w:color w:val="1F1F1F"/>
                <w:szCs w:val="24"/>
              </w:rPr>
              <w:t xml:space="preserve">Versi </w:t>
            </w:r>
            <w:r>
              <w:rPr>
                <w:rFonts w:eastAsia="Times New Roman" w:cs="Times New Roman"/>
                <w:i/>
                <w:iCs/>
                <w:color w:val="1F1F1F"/>
                <w:szCs w:val="24"/>
              </w:rPr>
              <w:t>scaled</w:t>
            </w:r>
            <w:r>
              <w:rPr>
                <w:rFonts w:eastAsia="Times New Roman" w:cs="Times New Roman"/>
                <w:color w:val="1F1F1F"/>
                <w:szCs w:val="24"/>
              </w:rPr>
              <w:t xml:space="preserve"> indeks </w:t>
            </w:r>
            <w:r>
              <w:rPr>
                <w:rFonts w:eastAsia="Times New Roman" w:cs="Times New Roman"/>
                <w:color w:val="1F1F1F"/>
                <w:szCs w:val="24"/>
                <w:lang w:val="en-US"/>
              </w:rPr>
              <w:t>iklim</w:t>
            </w:r>
          </w:p>
        </w:tc>
        <w:tc>
          <w:tcPr>
            <w:tcW w:w="990" w:type="dxa"/>
            <w:vAlign w:val="center"/>
          </w:tcPr>
          <w:p w14:paraId="4F25C7DB">
            <w:pPr>
              <w:spacing w:after="0" w:line="240" w:lineRule="auto"/>
              <w:jc w:val="center"/>
              <w:rPr>
                <w:rFonts w:eastAsia="Times New Roman" w:cs="Times New Roman"/>
                <w:color w:val="1F1F1F"/>
                <w:szCs w:val="24"/>
              </w:rPr>
            </w:pPr>
            <w:r>
              <w:rPr>
                <w:rFonts w:eastAsia="Times New Roman" w:cs="Times New Roman"/>
                <w:color w:val="1F1F1F"/>
                <w:szCs w:val="24"/>
              </w:rPr>
              <w:t>(0.xx)</w:t>
            </w:r>
          </w:p>
        </w:tc>
      </w:tr>
      <w:tr w14:paraId="0D3C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restart"/>
            <w:vAlign w:val="center"/>
          </w:tcPr>
          <w:p w14:paraId="41C68E74">
            <w:pPr>
              <w:spacing w:after="0" w:line="240" w:lineRule="auto"/>
              <w:jc w:val="center"/>
              <w:rPr>
                <w:rFonts w:eastAsia="Times New Roman" w:cs="Times New Roman"/>
                <w:color w:val="1F1F1F"/>
                <w:szCs w:val="24"/>
              </w:rPr>
            </w:pPr>
            <w:r>
              <w:rPr>
                <w:rFonts w:eastAsia="Times New Roman" w:cs="Times New Roman"/>
                <w:bCs/>
                <w:color w:val="1F1F1F"/>
                <w:szCs w:val="24"/>
              </w:rPr>
              <w:t>7.</w:t>
            </w:r>
          </w:p>
        </w:tc>
        <w:tc>
          <w:tcPr>
            <w:tcW w:w="1456" w:type="dxa"/>
            <w:vMerge w:val="restart"/>
            <w:vAlign w:val="center"/>
          </w:tcPr>
          <w:p w14:paraId="7953D37A">
            <w:pPr>
              <w:spacing w:after="0" w:line="240" w:lineRule="auto"/>
              <w:jc w:val="center"/>
              <w:rPr>
                <w:rFonts w:eastAsia="Times New Roman" w:cs="Times New Roman"/>
                <w:color w:val="1F1F1F"/>
                <w:szCs w:val="24"/>
              </w:rPr>
            </w:pPr>
            <w:r>
              <w:rPr>
                <w:rFonts w:eastAsia="Times New Roman" w:cs="Times New Roman"/>
                <w:bCs/>
                <w:color w:val="1F1F1F"/>
                <w:szCs w:val="24"/>
              </w:rPr>
              <w:t>Fitur Lag</w:t>
            </w:r>
          </w:p>
        </w:tc>
        <w:tc>
          <w:tcPr>
            <w:tcW w:w="2441" w:type="dxa"/>
            <w:vAlign w:val="center"/>
          </w:tcPr>
          <w:p w14:paraId="1FE4D945">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tp_mm_lag1, 2, 3</w:t>
            </w:r>
          </w:p>
        </w:tc>
        <w:tc>
          <w:tcPr>
            <w:tcW w:w="2590" w:type="dxa"/>
            <w:vAlign w:val="center"/>
          </w:tcPr>
          <w:p w14:paraId="296FFFEA">
            <w:pPr>
              <w:spacing w:after="0" w:line="240" w:lineRule="auto"/>
              <w:jc w:val="center"/>
              <w:rPr>
                <w:rFonts w:eastAsia="Times New Roman" w:cs="Times New Roman"/>
                <w:color w:val="1F1F1F"/>
                <w:szCs w:val="24"/>
              </w:rPr>
            </w:pPr>
            <w:r>
              <w:rPr>
                <w:rFonts w:eastAsia="Times New Roman" w:cs="Times New Roman"/>
                <w:color w:val="1F1F1F"/>
                <w:szCs w:val="24"/>
              </w:rPr>
              <w:t>Curah hujan lag 1, 2, 3 dasarian (mm)</w:t>
            </w:r>
          </w:p>
        </w:tc>
        <w:tc>
          <w:tcPr>
            <w:tcW w:w="990" w:type="dxa"/>
            <w:vAlign w:val="center"/>
          </w:tcPr>
          <w:p w14:paraId="48B9714D">
            <w:pPr>
              <w:spacing w:after="0" w:line="240" w:lineRule="auto"/>
              <w:jc w:val="center"/>
              <w:rPr>
                <w:rFonts w:eastAsia="Times New Roman" w:cs="Times New Roman"/>
                <w:color w:val="1F1F1F"/>
                <w:szCs w:val="24"/>
              </w:rPr>
            </w:pPr>
            <w:r>
              <w:rPr>
                <w:rFonts w:eastAsia="Times New Roman" w:cs="Times New Roman"/>
                <w:color w:val="1F1F1F"/>
                <w:szCs w:val="24"/>
              </w:rPr>
              <w:t>116.65</w:t>
            </w:r>
          </w:p>
        </w:tc>
      </w:tr>
      <w:tr w14:paraId="0B1A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605988E9">
            <w:pPr>
              <w:spacing w:after="0" w:line="240" w:lineRule="auto"/>
              <w:jc w:val="center"/>
              <w:rPr>
                <w:rFonts w:eastAsia="Times New Roman" w:cs="Times New Roman"/>
                <w:color w:val="1F1F1F"/>
                <w:szCs w:val="24"/>
              </w:rPr>
            </w:pPr>
          </w:p>
        </w:tc>
        <w:tc>
          <w:tcPr>
            <w:tcW w:w="1456" w:type="dxa"/>
            <w:vMerge w:val="continue"/>
            <w:vAlign w:val="center"/>
          </w:tcPr>
          <w:p w14:paraId="65E62B95">
            <w:pPr>
              <w:spacing w:after="0" w:line="240" w:lineRule="auto"/>
              <w:jc w:val="center"/>
              <w:rPr>
                <w:rFonts w:eastAsia="Times New Roman" w:cs="Times New Roman"/>
                <w:sz w:val="20"/>
                <w:szCs w:val="20"/>
              </w:rPr>
            </w:pPr>
          </w:p>
        </w:tc>
        <w:tc>
          <w:tcPr>
            <w:tcW w:w="2441" w:type="dxa"/>
            <w:vAlign w:val="center"/>
          </w:tcPr>
          <w:p w14:paraId="4A22E445">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qbo_lag1</w:t>
            </w:r>
          </w:p>
        </w:tc>
        <w:tc>
          <w:tcPr>
            <w:tcW w:w="2590" w:type="dxa"/>
            <w:vAlign w:val="center"/>
          </w:tcPr>
          <w:p w14:paraId="379C0F8C">
            <w:pPr>
              <w:spacing w:after="0" w:line="240" w:lineRule="auto"/>
              <w:jc w:val="center"/>
              <w:rPr>
                <w:rFonts w:eastAsia="Times New Roman" w:cs="Times New Roman"/>
                <w:color w:val="1F1F1F"/>
                <w:szCs w:val="24"/>
              </w:rPr>
            </w:pPr>
            <w:r>
              <w:rPr>
                <w:rFonts w:eastAsia="Times New Roman" w:cs="Times New Roman"/>
                <w:color w:val="1F1F1F"/>
                <w:szCs w:val="24"/>
              </w:rPr>
              <w:t>QBO lag 1 dasarian</w:t>
            </w:r>
          </w:p>
        </w:tc>
        <w:tc>
          <w:tcPr>
            <w:tcW w:w="990" w:type="dxa"/>
            <w:vAlign w:val="center"/>
          </w:tcPr>
          <w:p w14:paraId="790D3796">
            <w:pPr>
              <w:spacing w:after="0" w:line="240" w:lineRule="auto"/>
              <w:jc w:val="center"/>
              <w:rPr>
                <w:rFonts w:eastAsia="Times New Roman" w:cs="Times New Roman"/>
                <w:color w:val="1F1F1F"/>
                <w:szCs w:val="24"/>
              </w:rPr>
            </w:pPr>
            <w:r>
              <w:rPr>
                <w:rFonts w:eastAsia="Times New Roman" w:cs="Times New Roman"/>
                <w:color w:val="1F1F1F"/>
                <w:szCs w:val="24"/>
              </w:rPr>
              <w:t>23.01</w:t>
            </w:r>
          </w:p>
        </w:tc>
      </w:tr>
      <w:tr w14:paraId="23E3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0F9B1101">
            <w:pPr>
              <w:spacing w:after="0" w:line="240" w:lineRule="auto"/>
              <w:jc w:val="center"/>
              <w:rPr>
                <w:rFonts w:eastAsia="Times New Roman" w:cs="Times New Roman"/>
                <w:color w:val="1F1F1F"/>
                <w:szCs w:val="24"/>
              </w:rPr>
            </w:pPr>
          </w:p>
        </w:tc>
        <w:tc>
          <w:tcPr>
            <w:tcW w:w="1456" w:type="dxa"/>
            <w:vMerge w:val="continue"/>
            <w:vAlign w:val="center"/>
          </w:tcPr>
          <w:p w14:paraId="4AE7FE5F">
            <w:pPr>
              <w:spacing w:after="0" w:line="240" w:lineRule="auto"/>
              <w:jc w:val="center"/>
              <w:rPr>
                <w:rFonts w:eastAsia="Times New Roman" w:cs="Times New Roman"/>
                <w:sz w:val="20"/>
                <w:szCs w:val="20"/>
              </w:rPr>
            </w:pPr>
          </w:p>
        </w:tc>
        <w:tc>
          <w:tcPr>
            <w:tcW w:w="2441" w:type="dxa"/>
            <w:vAlign w:val="center"/>
          </w:tcPr>
          <w:p w14:paraId="41166664">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mjo_amp_mean_lag1</w:t>
            </w:r>
          </w:p>
        </w:tc>
        <w:tc>
          <w:tcPr>
            <w:tcW w:w="2590" w:type="dxa"/>
            <w:vAlign w:val="center"/>
          </w:tcPr>
          <w:p w14:paraId="1362E90A">
            <w:pPr>
              <w:spacing w:after="0" w:line="240" w:lineRule="auto"/>
              <w:jc w:val="center"/>
              <w:rPr>
                <w:rFonts w:eastAsia="Times New Roman" w:cs="Times New Roman"/>
                <w:color w:val="1F1F1F"/>
                <w:szCs w:val="24"/>
              </w:rPr>
            </w:pPr>
            <w:r>
              <w:rPr>
                <w:rFonts w:eastAsia="Times New Roman" w:cs="Times New Roman"/>
                <w:color w:val="1F1F1F"/>
                <w:szCs w:val="24"/>
              </w:rPr>
              <w:t>Amplitudo MJO lag 1 dasarian</w:t>
            </w:r>
          </w:p>
        </w:tc>
        <w:tc>
          <w:tcPr>
            <w:tcW w:w="990" w:type="dxa"/>
            <w:vAlign w:val="center"/>
          </w:tcPr>
          <w:p w14:paraId="5492EEE3">
            <w:pPr>
              <w:spacing w:after="0" w:line="240" w:lineRule="auto"/>
              <w:jc w:val="center"/>
              <w:rPr>
                <w:rFonts w:eastAsia="Times New Roman" w:cs="Times New Roman"/>
                <w:color w:val="1F1F1F"/>
                <w:szCs w:val="24"/>
              </w:rPr>
            </w:pPr>
            <w:r>
              <w:rPr>
                <w:rFonts w:eastAsia="Times New Roman" w:cs="Times New Roman"/>
                <w:color w:val="1F1F1F"/>
                <w:szCs w:val="24"/>
              </w:rPr>
              <w:t>0.70</w:t>
            </w:r>
          </w:p>
        </w:tc>
      </w:tr>
      <w:tr w14:paraId="4749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632EA59E">
            <w:pPr>
              <w:spacing w:after="0" w:line="240" w:lineRule="auto"/>
              <w:jc w:val="center"/>
              <w:rPr>
                <w:rFonts w:eastAsia="Times New Roman" w:cs="Times New Roman"/>
                <w:color w:val="1F1F1F"/>
                <w:szCs w:val="24"/>
              </w:rPr>
            </w:pPr>
          </w:p>
        </w:tc>
        <w:tc>
          <w:tcPr>
            <w:tcW w:w="1456" w:type="dxa"/>
            <w:vMerge w:val="continue"/>
            <w:vAlign w:val="center"/>
          </w:tcPr>
          <w:p w14:paraId="0F9491CB">
            <w:pPr>
              <w:spacing w:after="0" w:line="240" w:lineRule="auto"/>
              <w:jc w:val="center"/>
              <w:rPr>
                <w:rFonts w:eastAsia="Times New Roman" w:cs="Times New Roman"/>
                <w:sz w:val="20"/>
                <w:szCs w:val="20"/>
              </w:rPr>
            </w:pPr>
          </w:p>
        </w:tc>
        <w:tc>
          <w:tcPr>
            <w:tcW w:w="2441" w:type="dxa"/>
            <w:vAlign w:val="center"/>
          </w:tcPr>
          <w:p w14:paraId="51A9C1BB">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rmm1_mean_lag1</w:t>
            </w:r>
          </w:p>
        </w:tc>
        <w:tc>
          <w:tcPr>
            <w:tcW w:w="2590" w:type="dxa"/>
            <w:vAlign w:val="center"/>
          </w:tcPr>
          <w:p w14:paraId="787A0A7B">
            <w:pPr>
              <w:spacing w:after="0" w:line="240" w:lineRule="auto"/>
              <w:jc w:val="center"/>
              <w:rPr>
                <w:rFonts w:eastAsia="Times New Roman" w:cs="Times New Roman"/>
                <w:color w:val="1F1F1F"/>
                <w:szCs w:val="24"/>
              </w:rPr>
            </w:pPr>
            <w:r>
              <w:rPr>
                <w:rFonts w:eastAsia="Times New Roman" w:cs="Times New Roman"/>
                <w:color w:val="1F1F1F"/>
                <w:szCs w:val="24"/>
              </w:rPr>
              <w:t>Komponen 1 MJO lag 1 dasarian</w:t>
            </w:r>
          </w:p>
        </w:tc>
        <w:tc>
          <w:tcPr>
            <w:tcW w:w="990" w:type="dxa"/>
            <w:vAlign w:val="center"/>
          </w:tcPr>
          <w:p w14:paraId="7CF111EE">
            <w:pPr>
              <w:spacing w:after="0" w:line="240" w:lineRule="auto"/>
              <w:jc w:val="center"/>
              <w:rPr>
                <w:rFonts w:eastAsia="Times New Roman" w:cs="Times New Roman"/>
                <w:color w:val="1F1F1F"/>
                <w:szCs w:val="24"/>
              </w:rPr>
            </w:pPr>
            <w:r>
              <w:rPr>
                <w:rFonts w:eastAsia="Times New Roman" w:cs="Times New Roman"/>
                <w:color w:val="1F1F1F"/>
                <w:szCs w:val="24"/>
              </w:rPr>
              <w:t>-0.02</w:t>
            </w:r>
          </w:p>
        </w:tc>
      </w:tr>
      <w:tr w14:paraId="28C3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8CC1084">
            <w:pPr>
              <w:spacing w:after="0" w:line="240" w:lineRule="auto"/>
              <w:jc w:val="center"/>
              <w:rPr>
                <w:rFonts w:eastAsia="Times New Roman" w:cs="Times New Roman"/>
                <w:color w:val="1F1F1F"/>
                <w:szCs w:val="24"/>
              </w:rPr>
            </w:pPr>
          </w:p>
        </w:tc>
        <w:tc>
          <w:tcPr>
            <w:tcW w:w="1456" w:type="dxa"/>
            <w:vMerge w:val="continue"/>
            <w:vAlign w:val="center"/>
          </w:tcPr>
          <w:p w14:paraId="47A294A2">
            <w:pPr>
              <w:spacing w:after="0" w:line="240" w:lineRule="auto"/>
              <w:jc w:val="center"/>
              <w:rPr>
                <w:rFonts w:eastAsia="Times New Roman" w:cs="Times New Roman"/>
                <w:sz w:val="20"/>
                <w:szCs w:val="20"/>
              </w:rPr>
            </w:pPr>
          </w:p>
        </w:tc>
        <w:tc>
          <w:tcPr>
            <w:tcW w:w="2441" w:type="dxa"/>
            <w:vAlign w:val="center"/>
          </w:tcPr>
          <w:p w14:paraId="432CEE48">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rmm2_mean_lag1</w:t>
            </w:r>
          </w:p>
        </w:tc>
        <w:tc>
          <w:tcPr>
            <w:tcW w:w="2590" w:type="dxa"/>
            <w:vAlign w:val="center"/>
          </w:tcPr>
          <w:p w14:paraId="2DBE1B6C">
            <w:pPr>
              <w:spacing w:after="0" w:line="240" w:lineRule="auto"/>
              <w:jc w:val="center"/>
              <w:rPr>
                <w:rFonts w:eastAsia="Times New Roman" w:cs="Times New Roman"/>
                <w:color w:val="1F1F1F"/>
                <w:szCs w:val="24"/>
              </w:rPr>
            </w:pPr>
            <w:r>
              <w:rPr>
                <w:rFonts w:eastAsia="Times New Roman" w:cs="Times New Roman"/>
                <w:color w:val="1F1F1F"/>
                <w:szCs w:val="24"/>
              </w:rPr>
              <w:t>Komponen 2 MJO lag 1 dasarian</w:t>
            </w:r>
          </w:p>
        </w:tc>
        <w:tc>
          <w:tcPr>
            <w:tcW w:w="990" w:type="dxa"/>
            <w:vAlign w:val="center"/>
          </w:tcPr>
          <w:p w14:paraId="712EBAD9">
            <w:pPr>
              <w:spacing w:after="0" w:line="240" w:lineRule="auto"/>
              <w:jc w:val="center"/>
              <w:rPr>
                <w:rFonts w:eastAsia="Times New Roman" w:cs="Times New Roman"/>
                <w:color w:val="1F1F1F"/>
                <w:szCs w:val="24"/>
              </w:rPr>
            </w:pPr>
            <w:r>
              <w:rPr>
                <w:rFonts w:eastAsia="Times New Roman" w:cs="Times New Roman"/>
                <w:color w:val="1F1F1F"/>
                <w:szCs w:val="24"/>
              </w:rPr>
              <w:t>0.58</w:t>
            </w:r>
          </w:p>
        </w:tc>
      </w:tr>
      <w:tr w14:paraId="5214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5F09E96E">
            <w:pPr>
              <w:spacing w:after="0" w:line="240" w:lineRule="auto"/>
              <w:jc w:val="center"/>
              <w:rPr>
                <w:rFonts w:eastAsia="Times New Roman" w:cs="Times New Roman"/>
                <w:color w:val="1F1F1F"/>
                <w:szCs w:val="24"/>
              </w:rPr>
            </w:pPr>
          </w:p>
        </w:tc>
        <w:tc>
          <w:tcPr>
            <w:tcW w:w="1456" w:type="dxa"/>
            <w:vMerge w:val="continue"/>
            <w:vAlign w:val="center"/>
          </w:tcPr>
          <w:p w14:paraId="1A4D1CE5">
            <w:pPr>
              <w:spacing w:after="0" w:line="240" w:lineRule="auto"/>
              <w:jc w:val="center"/>
              <w:rPr>
                <w:rFonts w:eastAsia="Times New Roman" w:cs="Times New Roman"/>
                <w:sz w:val="20"/>
                <w:szCs w:val="20"/>
              </w:rPr>
            </w:pPr>
          </w:p>
        </w:tc>
        <w:tc>
          <w:tcPr>
            <w:tcW w:w="2441" w:type="dxa"/>
            <w:vAlign w:val="center"/>
          </w:tcPr>
          <w:p w14:paraId="1B5A414E">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rh_lag1</w:t>
            </w:r>
          </w:p>
        </w:tc>
        <w:tc>
          <w:tcPr>
            <w:tcW w:w="2590" w:type="dxa"/>
            <w:vAlign w:val="center"/>
          </w:tcPr>
          <w:p w14:paraId="70880514">
            <w:pPr>
              <w:spacing w:after="0" w:line="240" w:lineRule="auto"/>
              <w:jc w:val="center"/>
              <w:rPr>
                <w:rFonts w:eastAsia="Times New Roman" w:cs="Times New Roman"/>
                <w:color w:val="1F1F1F"/>
                <w:szCs w:val="24"/>
              </w:rPr>
            </w:pPr>
            <w:r>
              <w:rPr>
                <w:rFonts w:eastAsia="Times New Roman" w:cs="Times New Roman"/>
                <w:color w:val="1F1F1F"/>
                <w:szCs w:val="24"/>
              </w:rPr>
              <w:t>Kelembapan relatif lag 1 dasarian (%)</w:t>
            </w:r>
          </w:p>
        </w:tc>
        <w:tc>
          <w:tcPr>
            <w:tcW w:w="990" w:type="dxa"/>
            <w:vAlign w:val="center"/>
          </w:tcPr>
          <w:p w14:paraId="2D37D5DD">
            <w:pPr>
              <w:spacing w:after="0" w:line="240" w:lineRule="auto"/>
              <w:jc w:val="center"/>
              <w:rPr>
                <w:rFonts w:eastAsia="Times New Roman" w:cs="Times New Roman"/>
                <w:color w:val="1F1F1F"/>
                <w:szCs w:val="24"/>
              </w:rPr>
            </w:pPr>
            <w:r>
              <w:rPr>
                <w:rFonts w:eastAsia="Times New Roman" w:cs="Times New Roman"/>
                <w:color w:val="1F1F1F"/>
                <w:szCs w:val="24"/>
              </w:rPr>
              <w:t>86.80</w:t>
            </w:r>
          </w:p>
        </w:tc>
      </w:tr>
      <w:tr w14:paraId="57A3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70E87B17">
            <w:pPr>
              <w:spacing w:after="0" w:line="240" w:lineRule="auto"/>
              <w:jc w:val="center"/>
              <w:rPr>
                <w:rFonts w:eastAsia="Times New Roman" w:cs="Times New Roman"/>
                <w:color w:val="1F1F1F"/>
                <w:szCs w:val="24"/>
              </w:rPr>
            </w:pPr>
          </w:p>
        </w:tc>
        <w:tc>
          <w:tcPr>
            <w:tcW w:w="1456" w:type="dxa"/>
            <w:vMerge w:val="continue"/>
            <w:vAlign w:val="center"/>
          </w:tcPr>
          <w:p w14:paraId="21C70670">
            <w:pPr>
              <w:spacing w:after="0" w:line="240" w:lineRule="auto"/>
              <w:jc w:val="center"/>
              <w:rPr>
                <w:rFonts w:eastAsia="Times New Roman" w:cs="Times New Roman"/>
                <w:sz w:val="20"/>
                <w:szCs w:val="20"/>
              </w:rPr>
            </w:pPr>
          </w:p>
        </w:tc>
        <w:tc>
          <w:tcPr>
            <w:tcW w:w="2441" w:type="dxa"/>
            <w:vAlign w:val="center"/>
          </w:tcPr>
          <w:p w14:paraId="6B4EAB82">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nino34_lag1</w:t>
            </w:r>
          </w:p>
        </w:tc>
        <w:tc>
          <w:tcPr>
            <w:tcW w:w="2590" w:type="dxa"/>
            <w:vAlign w:val="center"/>
          </w:tcPr>
          <w:p w14:paraId="44169C9A">
            <w:pPr>
              <w:spacing w:after="0" w:line="240" w:lineRule="auto"/>
              <w:jc w:val="center"/>
              <w:rPr>
                <w:rFonts w:eastAsia="Times New Roman" w:cs="Times New Roman"/>
                <w:color w:val="1F1F1F"/>
                <w:szCs w:val="24"/>
              </w:rPr>
            </w:pPr>
            <w:r>
              <w:rPr>
                <w:rFonts w:eastAsia="Times New Roman" w:cs="Times New Roman"/>
                <w:color w:val="1F1F1F"/>
                <w:szCs w:val="24"/>
              </w:rPr>
              <w:t>Indeks Nino3.4 lag 1 dasarian</w:t>
            </w:r>
          </w:p>
        </w:tc>
        <w:tc>
          <w:tcPr>
            <w:tcW w:w="990" w:type="dxa"/>
            <w:vAlign w:val="center"/>
          </w:tcPr>
          <w:p w14:paraId="32829BE2">
            <w:pPr>
              <w:spacing w:after="0" w:line="240" w:lineRule="auto"/>
              <w:jc w:val="center"/>
              <w:rPr>
                <w:rFonts w:eastAsia="Times New Roman" w:cs="Times New Roman"/>
                <w:color w:val="1F1F1F"/>
                <w:szCs w:val="24"/>
              </w:rPr>
            </w:pPr>
            <w:r>
              <w:rPr>
                <w:rFonts w:eastAsia="Times New Roman" w:cs="Times New Roman"/>
                <w:color w:val="1F1F1F"/>
                <w:szCs w:val="24"/>
              </w:rPr>
              <w:t>25.73</w:t>
            </w:r>
          </w:p>
        </w:tc>
      </w:tr>
      <w:tr w14:paraId="1752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vMerge w:val="continue"/>
            <w:vAlign w:val="center"/>
          </w:tcPr>
          <w:p w14:paraId="239345A2">
            <w:pPr>
              <w:spacing w:after="0" w:line="240" w:lineRule="auto"/>
              <w:jc w:val="center"/>
              <w:rPr>
                <w:rFonts w:eastAsia="Times New Roman" w:cs="Times New Roman"/>
                <w:color w:val="1F1F1F"/>
                <w:szCs w:val="24"/>
              </w:rPr>
            </w:pPr>
          </w:p>
        </w:tc>
        <w:tc>
          <w:tcPr>
            <w:tcW w:w="1456" w:type="dxa"/>
            <w:vMerge w:val="continue"/>
            <w:vAlign w:val="center"/>
          </w:tcPr>
          <w:p w14:paraId="63E30A34">
            <w:pPr>
              <w:spacing w:after="0" w:line="240" w:lineRule="auto"/>
              <w:jc w:val="center"/>
              <w:rPr>
                <w:rFonts w:eastAsia="Times New Roman" w:cs="Times New Roman"/>
                <w:sz w:val="20"/>
                <w:szCs w:val="20"/>
              </w:rPr>
            </w:pPr>
          </w:p>
        </w:tc>
        <w:tc>
          <w:tcPr>
            <w:tcW w:w="2441" w:type="dxa"/>
            <w:vAlign w:val="center"/>
          </w:tcPr>
          <w:p w14:paraId="180B4921">
            <w:pPr>
              <w:spacing w:after="0" w:line="240" w:lineRule="auto"/>
              <w:jc w:val="center"/>
              <w:rPr>
                <w:rFonts w:eastAsia="Times New Roman" w:cs="Times New Roman"/>
                <w:color w:val="1F1F1F"/>
                <w:szCs w:val="24"/>
              </w:rPr>
            </w:pPr>
            <w:r>
              <w:rPr>
                <w:rFonts w:ascii="Courier New" w:hAnsi="Courier New" w:eastAsia="Times New Roman" w:cs="Courier New"/>
                <w:color w:val="444746"/>
                <w:sz w:val="20"/>
                <w:szCs w:val="20"/>
              </w:rPr>
              <w:t>sc_[fitur]</w:t>
            </w:r>
          </w:p>
        </w:tc>
        <w:tc>
          <w:tcPr>
            <w:tcW w:w="2590" w:type="dxa"/>
            <w:vAlign w:val="center"/>
          </w:tcPr>
          <w:p w14:paraId="04014179">
            <w:pPr>
              <w:spacing w:after="0" w:line="240" w:lineRule="auto"/>
              <w:jc w:val="center"/>
              <w:rPr>
                <w:rFonts w:eastAsia="Times New Roman" w:cs="Times New Roman"/>
                <w:color w:val="1F1F1F"/>
                <w:szCs w:val="24"/>
              </w:rPr>
            </w:pPr>
            <w:r>
              <w:rPr>
                <w:rFonts w:eastAsia="Times New Roman" w:cs="Times New Roman"/>
                <w:color w:val="1F1F1F"/>
                <w:szCs w:val="24"/>
              </w:rPr>
              <w:t xml:space="preserve">Versi </w:t>
            </w:r>
            <w:r>
              <w:rPr>
                <w:rFonts w:eastAsia="Times New Roman" w:cs="Times New Roman"/>
                <w:i/>
                <w:iCs/>
                <w:color w:val="1F1F1F"/>
                <w:szCs w:val="24"/>
              </w:rPr>
              <w:t>scaled</w:t>
            </w:r>
            <w:r>
              <w:rPr>
                <w:rFonts w:eastAsia="Times New Roman" w:cs="Times New Roman"/>
                <w:color w:val="1F1F1F"/>
                <w:szCs w:val="24"/>
              </w:rPr>
              <w:t xml:space="preserve"> untuk seluruh fitur lag di atas</w:t>
            </w:r>
          </w:p>
        </w:tc>
        <w:tc>
          <w:tcPr>
            <w:tcW w:w="990" w:type="dxa"/>
            <w:vAlign w:val="center"/>
          </w:tcPr>
          <w:p w14:paraId="3F396133">
            <w:pPr>
              <w:spacing w:after="0" w:line="240" w:lineRule="auto"/>
              <w:jc w:val="center"/>
              <w:rPr>
                <w:rFonts w:eastAsia="Times New Roman" w:cs="Times New Roman"/>
                <w:color w:val="1F1F1F"/>
                <w:szCs w:val="24"/>
              </w:rPr>
            </w:pPr>
            <w:r>
              <w:rPr>
                <w:rFonts w:eastAsia="Times New Roman" w:cs="Times New Roman"/>
                <w:color w:val="1F1F1F"/>
                <w:szCs w:val="24"/>
              </w:rPr>
              <w:t>(0.xx)</w:t>
            </w:r>
          </w:p>
        </w:tc>
      </w:tr>
    </w:tbl>
    <w:p w14:paraId="5BF9362C">
      <w:pPr>
        <w:spacing w:before="240"/>
        <w:ind w:left="360"/>
      </w:pPr>
      <w:r>
        <w:t xml:space="preserve">Keterangan: Prefiks </w:t>
      </w:r>
      <w:r>
        <w:rPr>
          <w:rStyle w:val="21"/>
          <w:rFonts w:eastAsiaTheme="majorEastAsia"/>
        </w:rPr>
        <w:t>sc_</w:t>
      </w:r>
      <w:r>
        <w:t xml:space="preserve"> menandakan fitur telah dinormalisasi menggunakan scaler yang dilatih pada data </w:t>
      </w:r>
      <w:r>
        <w:rPr>
          <w:i/>
        </w:rPr>
        <w:t>training</w:t>
      </w:r>
      <w:r>
        <w:t>.</w:t>
      </w:r>
    </w:p>
    <w:p w14:paraId="02A02123">
      <w:pPr>
        <w:pStyle w:val="4"/>
      </w:pPr>
      <w:bookmarkStart w:id="59" w:name="_Toc236076742"/>
      <w:r>
        <w:t xml:space="preserve">3.3.2 Modul Model </w:t>
      </w:r>
      <w:r>
        <w:rPr>
          <w:i/>
        </w:rPr>
        <w:t>Transformer</w:t>
      </w:r>
      <w:bookmarkEnd w:id="59"/>
    </w:p>
    <w:p w14:paraId="5423E573">
      <w:pPr>
        <w:keepNext/>
        <w:spacing w:after="0"/>
        <w:jc w:val="center"/>
      </w:pPr>
      <w:r>
        <w:rPr>
          <w:lang w:val="en-US"/>
        </w:rPr>
        <w:drawing>
          <wp:inline distT="0" distB="0" distL="0" distR="0">
            <wp:extent cx="4892040" cy="50673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0">
                      <a:extLst>
                        <a:ext uri="{28A0092B-C50C-407E-A947-70E740481C1C}">
                          <a14:useLocalDpi xmlns:a14="http://schemas.microsoft.com/office/drawing/2010/main" val="0"/>
                        </a:ext>
                      </a:extLst>
                    </a:blip>
                    <a:srcRect l="1642" r="1806"/>
                    <a:stretch>
                      <a:fillRect/>
                    </a:stretch>
                  </pic:blipFill>
                  <pic:spPr>
                    <a:xfrm>
                      <a:off x="0" y="0"/>
                      <a:ext cx="4921750" cy="5097530"/>
                    </a:xfrm>
                    <a:prstGeom prst="rect">
                      <a:avLst/>
                    </a:prstGeom>
                    <a:ln>
                      <a:noFill/>
                    </a:ln>
                  </pic:spPr>
                </pic:pic>
              </a:graphicData>
            </a:graphic>
          </wp:inline>
        </w:drawing>
      </w:r>
    </w:p>
    <w:p w14:paraId="00264D4B">
      <w:pPr>
        <w:pStyle w:val="11"/>
        <w:keepNext/>
        <w:jc w:val="center"/>
        <w:rPr>
          <w:b/>
          <w:color w:val="auto"/>
          <w:sz w:val="24"/>
        </w:rPr>
      </w:pPr>
      <w:bookmarkStart w:id="60" w:name="_Toc236077402"/>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7</w:t>
      </w:r>
      <w:r>
        <w:rPr>
          <w:b/>
          <w:i w:val="0"/>
          <w:color w:val="auto"/>
          <w:sz w:val="24"/>
        </w:rPr>
        <w:fldChar w:fldCharType="end"/>
      </w:r>
      <w:r>
        <w:rPr>
          <w:b/>
          <w:i w:val="0"/>
          <w:color w:val="auto"/>
          <w:sz w:val="24"/>
        </w:rPr>
        <w:t xml:space="preserve"> Arsitektur </w:t>
      </w:r>
      <w:r>
        <w:rPr>
          <w:b/>
          <w:color w:val="auto"/>
          <w:sz w:val="24"/>
        </w:rPr>
        <w:t>Transformer Encoder Only</w:t>
      </w:r>
      <w:bookmarkEnd w:id="60"/>
    </w:p>
    <w:p w14:paraId="586FD890">
      <w:pPr>
        <w:ind w:firstLine="720"/>
        <w:rPr>
          <w:lang w:val="en-US"/>
        </w:rPr>
      </w:pPr>
      <w:r>
        <w:t xml:space="preserve">Modul Model </w:t>
      </w:r>
      <w:r>
        <w:rPr>
          <w:i/>
        </w:rPr>
        <w:t>Transformer</w:t>
      </w:r>
      <w:r>
        <w:rPr>
          <w:i/>
          <w:lang w:val="en-US"/>
        </w:rPr>
        <w:t xml:space="preserve"> </w:t>
      </w:r>
      <w:r>
        <w:rPr>
          <w:lang w:val="en-US"/>
        </w:rPr>
        <w:t>divisualisasikan pada Gambar 3. 7. Modul ini</w:t>
      </w:r>
      <w:r>
        <w:t xml:space="preserve"> berfungsi sebagai komponen utama dalam sistem. Arsitektur model ini mengimplementasikan konsep-konsep </w:t>
      </w:r>
      <w:r>
        <w:rPr>
          <w:i/>
        </w:rPr>
        <w:t>Transformer</w:t>
      </w:r>
      <w:r>
        <w:t xml:space="preserve">, khususnya </w:t>
      </w:r>
      <w:r>
        <w:rPr>
          <w:i/>
        </w:rPr>
        <w:t>encoder-only architecture</w:t>
      </w:r>
      <w:r>
        <w:t xml:space="preserve">, </w:t>
      </w:r>
      <w:r>
        <w:rPr>
          <w:i/>
        </w:rPr>
        <w:t xml:space="preserve">multi-head  attention, positional encoding, </w:t>
      </w:r>
      <w:r>
        <w:t>dan</w:t>
      </w:r>
      <w:r>
        <w:rPr>
          <w:i/>
        </w:rPr>
        <w:t xml:space="preserve"> pre-layer normalization</w:t>
      </w:r>
      <w:r>
        <w:rPr>
          <w:i/>
          <w:lang w:val="en-US"/>
        </w:rPr>
        <w:t>.</w:t>
      </w:r>
    </w:p>
    <w:p w14:paraId="55D3ED7F">
      <w:pPr>
        <w:pStyle w:val="44"/>
      </w:pPr>
      <w:r>
        <w:t>a) Struktur Arsitektur Inti dan Mekanisme Pre-LN</w:t>
      </w:r>
    </w:p>
    <w:p w14:paraId="3E4AF98D">
      <w:pPr>
        <w:spacing w:after="0"/>
        <w:ind w:left="284" w:firstLine="720"/>
        <w:rPr>
          <w:lang w:val="en-US"/>
        </w:rPr>
      </w:pPr>
      <w:r>
        <w:rPr>
          <w:rFonts w:cs="Times New Roman"/>
        </w:rPr>
        <w:t xml:space="preserve">Model </w:t>
      </w:r>
      <w:r>
        <w:rPr>
          <w:rFonts w:cs="Times New Roman"/>
          <w:i/>
        </w:rPr>
        <w:t>Transformer</w:t>
      </w:r>
      <w:r>
        <w:rPr>
          <w:rFonts w:cs="Times New Roman"/>
        </w:rPr>
        <w:t xml:space="preserve"> mengadopsi arsitektur </w:t>
      </w:r>
      <w:r>
        <w:rPr>
          <w:rFonts w:cs="Times New Roman"/>
          <w:i/>
        </w:rPr>
        <w:t>encoder-only</w:t>
      </w:r>
      <w:r>
        <w:rPr>
          <w:rFonts w:cs="Times New Roman"/>
        </w:rPr>
        <w:t xml:space="preserve"> yang terbukti efektif untuk analisis </w:t>
      </w:r>
      <w:r>
        <w:rPr>
          <w:rFonts w:cs="Times New Roman"/>
          <w:i/>
        </w:rPr>
        <w:t>time series</w:t>
      </w:r>
      <w:r>
        <w:rPr>
          <w:rFonts w:cs="Times New Roman"/>
        </w:rPr>
        <w:t xml:space="preserve"> karena fokusnya pada ekstraksi fitur tanpa melibatkan komponen </w:t>
      </w:r>
      <w:r>
        <w:rPr>
          <w:rFonts w:cs="Times New Roman"/>
          <w:i/>
        </w:rPr>
        <w:t>decoder</w:t>
      </w:r>
      <w:r>
        <w:rPr>
          <w:rFonts w:cs="Times New Roman"/>
        </w:rPr>
        <w:t>.</w:t>
      </w:r>
      <w:r>
        <w:rPr>
          <w:rFonts w:cs="Times New Roman"/>
          <w:lang w:val="en-US"/>
        </w:rPr>
        <w:t xml:space="preserve"> </w:t>
      </w:r>
      <w:r>
        <w:rPr>
          <w:rFonts w:cs="Times New Roman"/>
        </w:rPr>
        <w:t>Struktur Pre-LN dipilih untuk meningkatkan stabilitas selama pelatihan dan mempercepat konvergensi model, terutama pada dataset berukuran kecil hingga menengah.</w:t>
      </w:r>
      <w:r>
        <w:rPr>
          <w:rFonts w:cs="Times New Roman"/>
          <w:lang w:val="en-US"/>
        </w:rPr>
        <w:t xml:space="preserve"> </w:t>
      </w:r>
      <w:r>
        <w:rPr>
          <w:rFonts w:cs="Times New Roman"/>
        </w:rPr>
        <w:t xml:space="preserve">Setiap </w:t>
      </w:r>
      <w:r>
        <w:rPr>
          <w:rFonts w:cs="Times New Roman"/>
          <w:i/>
        </w:rPr>
        <w:t>encoder</w:t>
      </w:r>
      <w:r>
        <w:rPr>
          <w:rFonts w:cs="Times New Roman"/>
        </w:rPr>
        <w:t xml:space="preserve"> </w:t>
      </w:r>
      <w:r>
        <w:rPr>
          <w:rFonts w:cs="Times New Roman"/>
          <w:i/>
        </w:rPr>
        <w:t>layer</w:t>
      </w:r>
      <w:r>
        <w:rPr>
          <w:rFonts w:cs="Times New Roman"/>
        </w:rPr>
        <w:t xml:space="preserve"> dalam tumpukan </w:t>
      </w:r>
      <w:r>
        <w:rPr>
          <w:rFonts w:ascii="Courier New" w:hAnsi="Courier New" w:cs="Courier New"/>
          <w:sz w:val="20"/>
        </w:rPr>
        <w:t>n_layers</w:t>
      </w:r>
      <w:r>
        <w:rPr>
          <w:rFonts w:cs="Times New Roman"/>
        </w:rPr>
        <w:t xml:space="preserve"> terdiri dari blok pemrosesan utama</w:t>
      </w:r>
      <w:r>
        <w:rPr>
          <w:rFonts w:cs="Times New Roman"/>
          <w:lang w:val="en-US"/>
        </w:rPr>
        <w:t>.</w:t>
      </w:r>
    </w:p>
    <w:p w14:paraId="5D547CF3">
      <w:pPr>
        <w:pStyle w:val="44"/>
      </w:pPr>
      <w:r>
        <w:t xml:space="preserve">b) Manajemen Input dan </w:t>
      </w:r>
      <w:r>
        <w:rPr>
          <w:i/>
        </w:rPr>
        <w:t>Site Embedding</w:t>
      </w:r>
      <w:r>
        <w:t xml:space="preserve"> Layer</w:t>
      </w:r>
    </w:p>
    <w:p w14:paraId="0D4A513E">
      <w:pPr>
        <w:spacing w:after="0"/>
        <w:ind w:left="284" w:firstLine="720"/>
        <w:rPr>
          <w:lang w:val="en-US"/>
        </w:rPr>
      </w:pPr>
      <w:r>
        <w:t xml:space="preserve">Sebelum memasuki lapisan </w:t>
      </w:r>
      <w:r>
        <w:rPr>
          <w:i/>
        </w:rPr>
        <w:t>encoder</w:t>
      </w:r>
      <w:r>
        <w:t xml:space="preserve">, model memproses input melalui beberapa tahapan persiapan data. Tahapan ini mengikuti alur yang ditunjukkan pada visualisasi arsitektur </w:t>
      </w:r>
      <w:r>
        <w:rPr>
          <w:i/>
        </w:rPr>
        <w:t>input</w:t>
      </w:r>
      <w:r>
        <w:rPr>
          <w:i/>
          <w:lang w:val="en-US"/>
        </w:rPr>
        <w:t xml:space="preserve"> </w:t>
      </w:r>
      <w:r>
        <w:rPr>
          <w:lang w:val="en-US"/>
        </w:rPr>
        <w:t xml:space="preserve">dan </w:t>
      </w:r>
      <w:r>
        <w:rPr>
          <w:i/>
          <w:lang w:val="en-US"/>
        </w:rPr>
        <w:t>site</w:t>
      </w:r>
      <w:r>
        <w:rPr>
          <w:i/>
        </w:rPr>
        <w:t xml:space="preserve"> embedding</w:t>
      </w:r>
      <w:r>
        <w:t>.</w:t>
      </w:r>
      <w:r>
        <w:rPr>
          <w:lang w:val="en-US"/>
        </w:rPr>
        <w:t xml:space="preserve"> Arsitektur </w:t>
      </w:r>
      <w:r>
        <w:rPr>
          <w:i/>
          <w:lang w:val="en-US"/>
        </w:rPr>
        <w:t xml:space="preserve">input </w:t>
      </w:r>
      <w:r>
        <w:rPr>
          <w:lang w:val="en-US"/>
        </w:rPr>
        <w:t xml:space="preserve">dan </w:t>
      </w:r>
      <w:r>
        <w:rPr>
          <w:i/>
          <w:lang w:val="en-US"/>
        </w:rPr>
        <w:t xml:space="preserve">site embedding </w:t>
      </w:r>
      <w:r>
        <w:rPr>
          <w:lang w:val="en-US"/>
        </w:rPr>
        <w:t>tersedia di Gambar 3. 8.</w:t>
      </w:r>
    </w:p>
    <w:p w14:paraId="771B7EA1">
      <w:pPr>
        <w:keepNext/>
        <w:spacing w:after="0"/>
      </w:pPr>
      <w:r>
        <w:drawing>
          <wp:inline distT="0" distB="0" distL="0" distR="0">
            <wp:extent cx="5036185" cy="33610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036261" cy="3361509"/>
                    </a:xfrm>
                    <a:prstGeom prst="rect">
                      <a:avLst/>
                    </a:prstGeom>
                  </pic:spPr>
                </pic:pic>
              </a:graphicData>
            </a:graphic>
          </wp:inline>
        </w:drawing>
      </w:r>
    </w:p>
    <w:p w14:paraId="74D5CEC9">
      <w:pPr>
        <w:pStyle w:val="11"/>
        <w:keepNext/>
        <w:jc w:val="center"/>
        <w:rPr>
          <w:b/>
          <w:color w:val="auto"/>
          <w:sz w:val="24"/>
        </w:rPr>
      </w:pPr>
      <w:bookmarkStart w:id="61" w:name="_Toc236077403"/>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8</w:t>
      </w:r>
      <w:r>
        <w:rPr>
          <w:b/>
          <w:i w:val="0"/>
          <w:color w:val="auto"/>
          <w:sz w:val="24"/>
        </w:rPr>
        <w:fldChar w:fldCharType="end"/>
      </w:r>
      <w:r>
        <w:rPr>
          <w:b/>
          <w:i w:val="0"/>
          <w:color w:val="auto"/>
          <w:sz w:val="24"/>
        </w:rPr>
        <w:t xml:space="preserve"> Arsitektur </w:t>
      </w:r>
      <w:r>
        <w:rPr>
          <w:b/>
          <w:color w:val="auto"/>
          <w:sz w:val="24"/>
        </w:rPr>
        <w:t>Input</w:t>
      </w:r>
      <w:r>
        <w:rPr>
          <w:b/>
          <w:i w:val="0"/>
          <w:color w:val="auto"/>
          <w:sz w:val="24"/>
        </w:rPr>
        <w:t xml:space="preserve"> dan </w:t>
      </w:r>
      <w:r>
        <w:rPr>
          <w:b/>
          <w:color w:val="auto"/>
          <w:sz w:val="24"/>
        </w:rPr>
        <w:t>Site Embedding</w:t>
      </w:r>
      <w:bookmarkEnd w:id="61"/>
    </w:p>
    <w:p w14:paraId="496AEF3A">
      <w:pPr>
        <w:pStyle w:val="33"/>
        <w:numPr>
          <w:ilvl w:val="0"/>
          <w:numId w:val="22"/>
        </w:numPr>
        <w:spacing w:after="0"/>
        <w:rPr>
          <w:b/>
        </w:rPr>
      </w:pPr>
      <w:r>
        <w:rPr>
          <w:b/>
        </w:rPr>
        <w:t>Input Data Cuaca</w:t>
      </w:r>
    </w:p>
    <w:p w14:paraId="266867CD">
      <w:pPr>
        <w:spacing w:after="0"/>
        <w:ind w:left="720" w:firstLine="720"/>
        <w:rPr>
          <w:lang w:val="en-US"/>
        </w:rPr>
      </w:pPr>
      <w:r>
        <w:t xml:space="preserve">Model menerima data cuaca historis dalam format </w:t>
      </w:r>
      <w:r>
        <w:rPr>
          <w:rFonts w:ascii="Courier New" w:hAnsi="Courier New" w:cs="Courier New"/>
          <w:sz w:val="20"/>
        </w:rPr>
        <w:t>[B, T, F]</w:t>
      </w:r>
      <w:r>
        <w:t xml:space="preserve">, di mana </w:t>
      </w:r>
      <w:r>
        <w:rPr>
          <w:rFonts w:ascii="Courier New" w:hAnsi="Courier New" w:cs="Courier New"/>
          <w:sz w:val="20"/>
        </w:rPr>
        <w:t>B</w:t>
      </w:r>
      <w:r>
        <w:t xml:space="preserve"> adalah jumlah lokasi yang diproses sekaligus, </w:t>
      </w:r>
      <w:r>
        <w:rPr>
          <w:rFonts w:ascii="Courier New" w:hAnsi="Courier New" w:cs="Courier New"/>
          <w:sz w:val="20"/>
        </w:rPr>
        <w:t>T</w:t>
      </w:r>
      <w:r>
        <w:t xml:space="preserve"> adalah jumlah dasarian, dan </w:t>
      </w:r>
      <w:r>
        <w:rPr>
          <w:rFonts w:ascii="Courier New" w:hAnsi="Courier New" w:cs="Courier New"/>
          <w:sz w:val="20"/>
        </w:rPr>
        <w:t>F</w:t>
      </w:r>
      <w:r>
        <w:t xml:space="preserve"> adalah jumlah jenis data cuaca</w:t>
      </w:r>
      <w:r>
        <w:rPr>
          <w:lang w:val="en-US"/>
        </w:rPr>
        <w:t>.</w:t>
      </w:r>
    </w:p>
    <w:p w14:paraId="0E62F440">
      <w:pPr>
        <w:pStyle w:val="33"/>
        <w:numPr>
          <w:ilvl w:val="0"/>
          <w:numId w:val="22"/>
        </w:numPr>
        <w:spacing w:after="0"/>
        <w:rPr>
          <w:b/>
        </w:rPr>
      </w:pPr>
      <w:r>
        <w:rPr>
          <w:b/>
          <w:i/>
          <w:lang w:val="en-US"/>
        </w:rPr>
        <w:t>Site Embedding</w:t>
      </w:r>
    </w:p>
    <w:p w14:paraId="0540E763">
      <w:pPr>
        <w:spacing w:after="0"/>
        <w:ind w:left="720" w:firstLine="720"/>
      </w:pPr>
      <w:r>
        <w:t xml:space="preserve">Untuk skenario </w:t>
      </w:r>
      <w:r>
        <w:rPr>
          <w:i/>
        </w:rPr>
        <w:t>multi-site</w:t>
      </w:r>
      <w:r>
        <w:t xml:space="preserve"> </w:t>
      </w:r>
      <w:r>
        <w:rPr>
          <w:i/>
        </w:rPr>
        <w:t>learning</w:t>
      </w:r>
      <w:r>
        <w:t xml:space="preserve">, model dapat menambahkan kode lokasi pada setiap data cuaca. Setiap lokasi dipetakan menjadi kode khusus berupa 12 angka (dapat diatur antara 8-16). Kode lokasi ini diulang untuk setiap dasarian, sehingga setiap baris data cuaca memiliki "tanda pengenal" lokasinya. </w:t>
      </w:r>
    </w:p>
    <w:p w14:paraId="25F973EB">
      <w:pPr>
        <w:spacing w:after="0"/>
        <w:rPr>
          <w:b/>
        </w:rPr>
      </w:pPr>
      <w:r>
        <w:rPr>
          <w:b/>
        </w:rPr>
        <w:tab/>
      </w:r>
      <w:r>
        <w:rPr>
          <w:b/>
        </w:rPr>
        <w:t xml:space="preserve">iii) Penggabungan dan </w:t>
      </w:r>
      <w:r>
        <w:rPr>
          <w:b/>
          <w:i/>
        </w:rPr>
        <w:t>Input Projection</w:t>
      </w:r>
    </w:p>
    <w:p w14:paraId="6DE0C5A0">
      <w:pPr>
        <w:spacing w:after="0"/>
        <w:ind w:left="720" w:firstLine="720"/>
      </w:pPr>
      <w:r>
        <w:t xml:space="preserve">Data cuaca dan kode lokasi digabungkan menjadi satu. Sebagai contoh, jika data cuaca memiliki 6 fitur dan kode lokasi memiliki 12 angka, hasil penggabungan adalah 18 fitur per dasarian. Namun, model </w:t>
      </w:r>
      <w:r>
        <w:rPr>
          <w:i/>
        </w:rPr>
        <w:t>Transformer</w:t>
      </w:r>
      <w:r>
        <w:t xml:space="preserve"> memerlukan format dengan dimensi tertentu (</w:t>
      </w:r>
      <w:r>
        <w:rPr>
          <w:rFonts w:ascii="Courier New" w:hAnsi="Courier New" w:cs="Courier New"/>
          <w:sz w:val="20"/>
          <w:szCs w:val="20"/>
        </w:rPr>
        <w:t>d_model</w:t>
      </w:r>
      <w:r>
        <w:t xml:space="preserve">, misalnya 96). Oleh karena itu, model melakukan </w:t>
      </w:r>
      <w:r>
        <w:rPr>
          <w:i/>
        </w:rPr>
        <w:t>input projection</w:t>
      </w:r>
      <w:r>
        <w:t xml:space="preserve"> yang mengubah format dari 18 fitur menjadi 96 angka</w:t>
      </w:r>
      <w:r>
        <w:rPr>
          <w:lang w:val="en-US"/>
        </w:rPr>
        <w:t xml:space="preserve">. </w:t>
      </w:r>
      <w:r>
        <w:t xml:space="preserve">Nilai </w:t>
      </w:r>
      <w:r>
        <w:rPr>
          <w:rFonts w:ascii="Courier New" w:hAnsi="Courier New" w:cs="Courier New"/>
          <w:sz w:val="20"/>
          <w:szCs w:val="20"/>
        </w:rPr>
        <w:t>d_model</w:t>
      </w:r>
      <w:r>
        <w:t xml:space="preserve"> ini merupakan salah satu </w:t>
      </w:r>
      <w:r>
        <w:rPr>
          <w:i/>
        </w:rPr>
        <w:t>hyperparameter</w:t>
      </w:r>
      <w:r>
        <w:t xml:space="preserve"> yang dicari oleh algoritma IFPOA-X dalam proses optimasi.</w:t>
      </w:r>
    </w:p>
    <w:p w14:paraId="630A815C">
      <w:pPr>
        <w:spacing w:after="0"/>
        <w:rPr>
          <w:b/>
        </w:rPr>
      </w:pPr>
      <w:r>
        <w:rPr>
          <w:b/>
        </w:rPr>
        <w:tab/>
      </w:r>
      <w:r>
        <w:rPr>
          <w:b/>
        </w:rPr>
        <w:t xml:space="preserve">iv) </w:t>
      </w:r>
      <w:r>
        <w:rPr>
          <w:b/>
          <w:i/>
        </w:rPr>
        <w:t>Positional Encoding</w:t>
      </w:r>
    </w:p>
    <w:p w14:paraId="2511988A">
      <w:pPr>
        <w:keepNext/>
        <w:spacing w:after="0"/>
      </w:pPr>
      <w:r>
        <w:drawing>
          <wp:inline distT="0" distB="0" distL="0" distR="0">
            <wp:extent cx="5020310" cy="16706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32"/>
                    <a:srcRect r="1691" b="3992"/>
                    <a:stretch>
                      <a:fillRect/>
                    </a:stretch>
                  </pic:blipFill>
                  <pic:spPr>
                    <a:xfrm>
                      <a:off x="0" y="0"/>
                      <a:ext cx="5042660" cy="1678350"/>
                    </a:xfrm>
                    <a:prstGeom prst="rect">
                      <a:avLst/>
                    </a:prstGeom>
                    <a:ln>
                      <a:noFill/>
                    </a:ln>
                  </pic:spPr>
                </pic:pic>
              </a:graphicData>
            </a:graphic>
          </wp:inline>
        </w:drawing>
      </w:r>
    </w:p>
    <w:p w14:paraId="2F15B21D">
      <w:pPr>
        <w:pStyle w:val="11"/>
        <w:keepNext/>
        <w:jc w:val="center"/>
        <w:rPr>
          <w:b/>
          <w:i w:val="0"/>
          <w:color w:val="auto"/>
          <w:sz w:val="24"/>
        </w:rPr>
      </w:pPr>
      <w:bookmarkStart w:id="62" w:name="_Toc236077404"/>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9</w:t>
      </w:r>
      <w:r>
        <w:rPr>
          <w:b/>
          <w:i w:val="0"/>
          <w:color w:val="auto"/>
          <w:sz w:val="24"/>
        </w:rPr>
        <w:fldChar w:fldCharType="end"/>
      </w:r>
      <w:r>
        <w:rPr>
          <w:b/>
          <w:i w:val="0"/>
          <w:color w:val="auto"/>
          <w:sz w:val="24"/>
        </w:rPr>
        <w:t xml:space="preserve"> Simulasi </w:t>
      </w:r>
      <w:r>
        <w:rPr>
          <w:b/>
          <w:color w:val="auto"/>
          <w:sz w:val="24"/>
        </w:rPr>
        <w:t>Positional Encoding</w:t>
      </w:r>
      <w:bookmarkEnd w:id="62"/>
    </w:p>
    <w:p w14:paraId="6E5EBD0D">
      <w:pPr>
        <w:spacing w:after="0"/>
        <w:ind w:left="720" w:firstLine="720"/>
      </w:pPr>
      <w:r>
        <w:rPr>
          <w:lang w:val="en-US"/>
        </w:rPr>
        <w:t xml:space="preserve">Gambar 3. 9 adalah simulasi </w:t>
      </w:r>
      <w:r>
        <w:rPr>
          <w:i/>
          <w:lang w:val="en-US"/>
        </w:rPr>
        <w:t xml:space="preserve">Positional Encoding. </w:t>
      </w:r>
      <w:r>
        <w:t xml:space="preserve">Model menambahkan informasi urutan waktu pada setiap dasarian melalui </w:t>
      </w:r>
      <w:r>
        <w:rPr>
          <w:i/>
        </w:rPr>
        <w:t>positional encoding</w:t>
      </w:r>
      <w:r>
        <w:t xml:space="preserve">. Mekanisme ini diperlukan karena model perlu mengetahui urutan waktu dari data. Model menggunakan </w:t>
      </w:r>
      <w:r>
        <w:rPr>
          <w:i/>
        </w:rPr>
        <w:t>SinCosPositionalEncoding</w:t>
      </w:r>
      <w:r>
        <w:t xml:space="preserve"> yang membuat pola unik untuk setiap posisi waktu menggunakan fungsi sinus dan kosinus. </w:t>
      </w:r>
      <w:r>
        <w:rPr>
          <w:i/>
        </w:rPr>
        <w:t>Positional encoding</w:t>
      </w:r>
      <w:r>
        <w:t xml:space="preserve"> ditambahkan ke hasil input melalui operasi penjumlahan, menghasilkan data akhir yang siap diproses oleh </w:t>
      </w:r>
      <w:r>
        <w:rPr>
          <w:i/>
        </w:rPr>
        <w:t>encoder</w:t>
      </w:r>
      <w:r>
        <w:t>.</w:t>
      </w:r>
    </w:p>
    <w:p w14:paraId="4387969B">
      <w:pPr>
        <w:pStyle w:val="44"/>
      </w:pPr>
      <w:r>
        <w:t xml:space="preserve">c) Manajemen </w:t>
      </w:r>
      <w:r>
        <w:rPr>
          <w:i/>
        </w:rPr>
        <w:t>Encoder Layer</w:t>
      </w:r>
    </w:p>
    <w:p w14:paraId="43A98DF4">
      <w:pPr>
        <w:spacing w:after="0"/>
        <w:ind w:left="284" w:firstLine="720"/>
        <w:rPr>
          <w:lang w:val="en-US"/>
        </w:rPr>
      </w:pPr>
      <w:r>
        <w:t xml:space="preserve">Pada setiap </w:t>
      </w:r>
      <w:r>
        <w:rPr>
          <w:i/>
        </w:rPr>
        <w:t>PreLNEncoderLayer</w:t>
      </w:r>
      <w:r>
        <w:t>, input berformat [</w:t>
      </w:r>
      <w:r>
        <w:rPr>
          <w:rFonts w:ascii="Courier New" w:hAnsi="Courier New" w:cs="Courier New"/>
          <w:sz w:val="20"/>
          <w:szCs w:val="20"/>
        </w:rPr>
        <w:t>B, T, d_model</w:t>
      </w:r>
      <w:r>
        <w:t xml:space="preserve">] diproses melalui dua blok utama, yaitu blok </w:t>
      </w:r>
      <w:r>
        <w:rPr>
          <w:i/>
          <w:lang w:val="en-US"/>
        </w:rPr>
        <w:t>multi-head attention</w:t>
      </w:r>
      <w:r>
        <w:t xml:space="preserve"> dan blok </w:t>
      </w:r>
      <w:r>
        <w:rPr>
          <w:i/>
        </w:rPr>
        <w:t>feed-forward</w:t>
      </w:r>
      <w:r>
        <w:t xml:space="preserve">. </w:t>
      </w:r>
      <w:r>
        <w:rPr>
          <w:lang w:val="en-US"/>
        </w:rPr>
        <w:t>Sebagaimana dijelaskan di Gambar 3. 10.</w:t>
      </w:r>
    </w:p>
    <w:p w14:paraId="5AB794B8">
      <w:pPr>
        <w:spacing w:after="0" w:line="240" w:lineRule="auto"/>
        <w:ind w:left="284" w:hanging="284"/>
        <w:jc w:val="center"/>
      </w:pPr>
      <w:r>
        <w:drawing>
          <wp:inline distT="0" distB="0" distL="0" distR="0">
            <wp:extent cx="4411980" cy="535686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4435448" cy="5385157"/>
                    </a:xfrm>
                    <a:prstGeom prst="rect">
                      <a:avLst/>
                    </a:prstGeom>
                  </pic:spPr>
                </pic:pic>
              </a:graphicData>
            </a:graphic>
          </wp:inline>
        </w:drawing>
      </w:r>
    </w:p>
    <w:p w14:paraId="4FD130D5">
      <w:pPr>
        <w:pStyle w:val="11"/>
        <w:keepNext/>
        <w:jc w:val="center"/>
        <w:rPr>
          <w:b/>
          <w:color w:val="auto"/>
          <w:sz w:val="24"/>
        </w:rPr>
      </w:pPr>
      <w:bookmarkStart w:id="63" w:name="_Toc236077405"/>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10</w:t>
      </w:r>
      <w:r>
        <w:rPr>
          <w:b/>
          <w:i w:val="0"/>
          <w:color w:val="auto"/>
          <w:sz w:val="24"/>
        </w:rPr>
        <w:fldChar w:fldCharType="end"/>
      </w:r>
      <w:r>
        <w:rPr>
          <w:b/>
          <w:i w:val="0"/>
          <w:color w:val="auto"/>
          <w:sz w:val="24"/>
        </w:rPr>
        <w:t xml:space="preserve"> Arsitektur </w:t>
      </w:r>
      <w:r>
        <w:rPr>
          <w:b/>
          <w:color w:val="auto"/>
          <w:sz w:val="24"/>
        </w:rPr>
        <w:t>Encoder Layer</w:t>
      </w:r>
      <w:bookmarkEnd w:id="63"/>
    </w:p>
    <w:p w14:paraId="274B3AFD">
      <w:pPr>
        <w:spacing w:after="0"/>
        <w:ind w:left="284" w:firstLine="720"/>
      </w:pPr>
      <w:r>
        <w:t xml:space="preserve">Secara sederhana, blok </w:t>
      </w:r>
      <w:r>
        <w:rPr>
          <w:i/>
          <w:lang w:val="en-US"/>
        </w:rPr>
        <w:t xml:space="preserve">multi-head </w:t>
      </w:r>
      <w:r>
        <w:rPr>
          <w:i/>
        </w:rPr>
        <w:t>attention</w:t>
      </w:r>
      <w:r>
        <w:t xml:space="preserve"> bertugas “melihat hubungan” antar waktu dalam satu deret data, sedangkan blok </w:t>
      </w:r>
      <w:r>
        <w:rPr>
          <w:i/>
        </w:rPr>
        <w:t>feed-forward</w:t>
      </w:r>
      <w:r>
        <w:t xml:space="preserve"> mengolah hasilnya agar menjadi representasi fitur yang lebih kaya.</w:t>
      </w:r>
    </w:p>
    <w:p w14:paraId="0C22CD10">
      <w:pPr>
        <w:spacing w:after="0"/>
        <w:ind w:left="284" w:firstLine="720"/>
      </w:pPr>
      <w:r>
        <w:t>Kedua blok ini selalu dibungkus dengan normalisasi dan koneksi residual (</w:t>
      </w:r>
      <w:r>
        <w:rPr>
          <w:i/>
        </w:rPr>
        <w:t>Add dan Norm</w:t>
      </w:r>
      <w:r>
        <w:t xml:space="preserve">) untuk menjaga pelatihan tetap stabil dan mencegah informasi penting hilang. Dengan cara ini, setiap lapisan </w:t>
      </w:r>
      <w:r>
        <w:rPr>
          <w:i/>
        </w:rPr>
        <w:t>encoder</w:t>
      </w:r>
      <w:r>
        <w:t xml:space="preserve"> mengambil input [</w:t>
      </w:r>
      <w:r>
        <w:rPr>
          <w:rFonts w:ascii="Courier New" w:hAnsi="Courier New" w:cs="Courier New"/>
          <w:sz w:val="20"/>
          <w:szCs w:val="20"/>
        </w:rPr>
        <w:t>B, T, d_model</w:t>
      </w:r>
      <w:r>
        <w:t>] dan mengembalikan lagi [</w:t>
      </w:r>
      <w:r>
        <w:rPr>
          <w:rFonts w:ascii="Courier New" w:hAnsi="Courier New" w:cs="Courier New"/>
          <w:sz w:val="20"/>
          <w:szCs w:val="20"/>
        </w:rPr>
        <w:t>B, T, d_model</w:t>
      </w:r>
      <w:r>
        <w:t>]</w:t>
      </w:r>
      <w:r>
        <w:rPr>
          <w:lang w:val="en-US"/>
        </w:rPr>
        <w:t xml:space="preserve"> yang sudah dilengkapkan. </w:t>
      </w:r>
      <w:r>
        <w:t xml:space="preserve">Lapisan </w:t>
      </w:r>
      <w:r>
        <w:rPr>
          <w:i/>
        </w:rPr>
        <w:t>PreLNEncoderLayer</w:t>
      </w:r>
      <w:r>
        <w:t xml:space="preserve"> dikendalikan oleh beberapa parameter utama, yaitu </w:t>
      </w:r>
      <w:r>
        <w:rPr>
          <w:rFonts w:ascii="Courier New" w:hAnsi="Courier New" w:cs="Courier New"/>
          <w:sz w:val="20"/>
          <w:szCs w:val="20"/>
        </w:rPr>
        <w:t xml:space="preserve">d_model, n_heads, </w:t>
      </w:r>
      <w:r>
        <w:t xml:space="preserve">dan </w:t>
      </w:r>
      <w:r>
        <w:rPr>
          <w:rFonts w:ascii="Courier New" w:hAnsi="Courier New" w:cs="Courier New"/>
          <w:sz w:val="20"/>
          <w:szCs w:val="20"/>
        </w:rPr>
        <w:t>dropout</w:t>
      </w:r>
      <w:r>
        <w:t xml:space="preserve">. Parameter </w:t>
      </w:r>
      <w:r>
        <w:rPr>
          <w:rFonts w:ascii="Courier New" w:hAnsi="Courier New" w:cs="Courier New"/>
          <w:sz w:val="20"/>
          <w:szCs w:val="20"/>
        </w:rPr>
        <w:t>d</w:t>
      </w:r>
      <w:r>
        <w:t>_</w:t>
      </w:r>
      <w:r>
        <w:rPr>
          <w:rFonts w:ascii="Courier New" w:hAnsi="Courier New" w:cs="Courier New"/>
          <w:sz w:val="20"/>
          <w:szCs w:val="20"/>
        </w:rPr>
        <w:t>model</w:t>
      </w:r>
      <w:r>
        <w:t xml:space="preserve"> mengatur lebar vektor fitur di setiap </w:t>
      </w:r>
      <w:r>
        <w:rPr>
          <w:i/>
        </w:rPr>
        <w:t>timestep</w:t>
      </w:r>
      <w:r>
        <w:t xml:space="preserve">, </w:t>
      </w:r>
      <w:r>
        <w:rPr>
          <w:rFonts w:ascii="Courier New" w:hAnsi="Courier New" w:cs="Courier New"/>
          <w:sz w:val="20"/>
          <w:szCs w:val="20"/>
        </w:rPr>
        <w:t>n_heads</w:t>
      </w:r>
      <w:r>
        <w:t xml:space="preserve"> menentukan berapa banyak </w:t>
      </w:r>
      <w:r>
        <w:rPr>
          <w:i/>
          <w:lang w:val="en-US"/>
        </w:rPr>
        <w:t xml:space="preserve">attention head </w:t>
      </w:r>
      <w:r>
        <w:t xml:space="preserve"> paralel di dalam </w:t>
      </w:r>
      <w:r>
        <w:rPr>
          <w:i/>
        </w:rPr>
        <w:t>Multi-Head Attention</w:t>
      </w:r>
      <w:r>
        <w:rPr>
          <w:lang w:val="en-US"/>
        </w:rPr>
        <w:t xml:space="preserve">. </w:t>
      </w:r>
      <w:r>
        <w:t xml:space="preserve">Parameter </w:t>
      </w:r>
      <w:r>
        <w:rPr>
          <w:rFonts w:ascii="Courier New" w:hAnsi="Courier New" w:cs="Courier New"/>
          <w:sz w:val="20"/>
          <w:szCs w:val="20"/>
        </w:rPr>
        <w:t>dropout</w:t>
      </w:r>
      <w:r>
        <w:t xml:space="preserve"> mengatur seberapa besar tingkat regularisasi yang diberikan untuk mencegah </w:t>
      </w:r>
      <w:r>
        <w:rPr>
          <w:i/>
        </w:rPr>
        <w:t>overfitting</w:t>
      </w:r>
      <w:r>
        <w:rPr>
          <w:lang w:val="en-US"/>
        </w:rPr>
        <w:t>.</w:t>
      </w:r>
    </w:p>
    <w:p w14:paraId="2E21876D">
      <w:pPr>
        <w:pStyle w:val="44"/>
      </w:pPr>
      <w:r>
        <w:t>d) Manajemen Pooling dan Multi-Horizon Prediction</w:t>
      </w:r>
    </w:p>
    <w:p w14:paraId="5755254E">
      <w:pPr>
        <w:spacing w:after="0"/>
        <w:ind w:left="284" w:firstLine="720"/>
        <w:rPr>
          <w:lang w:val="en-US"/>
        </w:rPr>
      </w:pPr>
      <w:r>
        <w:t xml:space="preserve">Setelah melewati beberapa lapisan </w:t>
      </w:r>
      <w:r>
        <w:rPr>
          <w:i/>
        </w:rPr>
        <w:t>encoder</w:t>
      </w:r>
      <w:r>
        <w:t xml:space="preserve">, keluaran model masih berbentuk </w:t>
      </w:r>
      <w:r>
        <w:rPr>
          <w:i/>
        </w:rPr>
        <w:t>time series</w:t>
      </w:r>
      <w:r>
        <w:t xml:space="preserve"> berdimensi [</w:t>
      </w:r>
      <w:r>
        <w:rPr>
          <w:rFonts w:ascii="Courier New" w:hAnsi="Courier New" w:cs="Courier New"/>
          <w:sz w:val="20"/>
          <w:szCs w:val="20"/>
        </w:rPr>
        <w:t>B, T, d_model</w:t>
      </w:r>
      <w:r>
        <w:t xml:space="preserve">]. Agar dapat dipetakan menjadi prediksi curah hujan untuk beberapa dasarian ke depan, deret ini terlebih dahulu diringkas menjadi satu vektor konteks melalui mekanisme </w:t>
      </w:r>
      <w:r>
        <w:rPr>
          <w:i/>
        </w:rPr>
        <w:t>pooling</w:t>
      </w:r>
      <w:r>
        <w:rPr>
          <w:lang w:val="en-US"/>
        </w:rPr>
        <w:t xml:space="preserve"> sebagaimana dijelaskan pada Gambar 3. 11.</w:t>
      </w:r>
    </w:p>
    <w:p w14:paraId="788510D3">
      <w:pPr>
        <w:keepNext/>
        <w:spacing w:after="0"/>
      </w:pPr>
      <w:r>
        <w:drawing>
          <wp:inline distT="0" distB="0" distL="0" distR="0">
            <wp:extent cx="5039360" cy="2546985"/>
            <wp:effectExtent l="0" t="0" r="889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039994" cy="2547049"/>
                    </a:xfrm>
                    <a:prstGeom prst="rect">
                      <a:avLst/>
                    </a:prstGeom>
                  </pic:spPr>
                </pic:pic>
              </a:graphicData>
            </a:graphic>
          </wp:inline>
        </w:drawing>
      </w:r>
    </w:p>
    <w:p w14:paraId="23E379A5">
      <w:pPr>
        <w:pStyle w:val="11"/>
        <w:keepNext/>
        <w:jc w:val="center"/>
        <w:rPr>
          <w:b/>
          <w:i w:val="0"/>
          <w:color w:val="auto"/>
          <w:sz w:val="24"/>
        </w:rPr>
      </w:pPr>
      <w:bookmarkStart w:id="64" w:name="_Toc236077406"/>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11</w:t>
      </w:r>
      <w:r>
        <w:rPr>
          <w:b/>
          <w:i w:val="0"/>
          <w:color w:val="auto"/>
          <w:sz w:val="24"/>
        </w:rPr>
        <w:fldChar w:fldCharType="end"/>
      </w:r>
      <w:r>
        <w:rPr>
          <w:b/>
          <w:i w:val="0"/>
          <w:color w:val="auto"/>
          <w:sz w:val="24"/>
        </w:rPr>
        <w:t xml:space="preserve"> Arsitektur </w:t>
      </w:r>
      <w:r>
        <w:rPr>
          <w:b/>
          <w:color w:val="auto"/>
          <w:sz w:val="24"/>
        </w:rPr>
        <w:t>Pooling</w:t>
      </w:r>
      <w:bookmarkEnd w:id="64"/>
    </w:p>
    <w:p w14:paraId="68BE86AE">
      <w:pPr>
        <w:spacing w:after="0"/>
        <w:ind w:left="284" w:firstLine="720"/>
      </w:pPr>
      <w:r>
        <w:t xml:space="preserve">Dalam penelitian ini digunakan tiga opsi </w:t>
      </w:r>
      <w:r>
        <w:rPr>
          <w:i/>
        </w:rPr>
        <w:t>pooling</w:t>
      </w:r>
      <w:r>
        <w:t>, yaitu "</w:t>
      </w:r>
      <w:r>
        <w:rPr>
          <w:i/>
        </w:rPr>
        <w:t>last</w:t>
      </w:r>
      <w:r>
        <w:t>", "</w:t>
      </w:r>
      <w:r>
        <w:rPr>
          <w:i/>
        </w:rPr>
        <w:t>mean</w:t>
      </w:r>
      <w:r>
        <w:t>", dan "</w:t>
      </w:r>
      <w:r>
        <w:rPr>
          <w:i/>
        </w:rPr>
        <w:t>att</w:t>
      </w:r>
      <w:r>
        <w:rPr>
          <w:i/>
          <w:lang w:val="en-US"/>
        </w:rPr>
        <w:t>ention</w:t>
      </w:r>
      <w:r>
        <w:t xml:space="preserve">". </w:t>
      </w:r>
      <w:r>
        <w:rPr>
          <w:i/>
        </w:rPr>
        <w:t>Pooling</w:t>
      </w:r>
      <w:r>
        <w:t xml:space="preserve"> "</w:t>
      </w:r>
      <w:r>
        <w:rPr>
          <w:i/>
        </w:rPr>
        <w:t>last</w:t>
      </w:r>
      <w:r>
        <w:t xml:space="preserve">" mengambil representasi pada </w:t>
      </w:r>
      <w:r>
        <w:rPr>
          <w:i/>
        </w:rPr>
        <w:t>timestep</w:t>
      </w:r>
      <w:r>
        <w:t xml:space="preserve"> terakhir dan menganggap informasi terbaru paling penting, </w:t>
      </w:r>
      <w:r>
        <w:rPr>
          <w:i/>
        </w:rPr>
        <w:t>pooling</w:t>
      </w:r>
      <w:r>
        <w:t xml:space="preserve"> "</w:t>
      </w:r>
      <w:r>
        <w:rPr>
          <w:i/>
        </w:rPr>
        <w:t>mean</w:t>
      </w:r>
      <w:r>
        <w:t xml:space="preserve">" menghitung rata-rata seluruh </w:t>
      </w:r>
      <w:r>
        <w:rPr>
          <w:i/>
        </w:rPr>
        <w:t>timestep</w:t>
      </w:r>
      <w:r>
        <w:t xml:space="preserve"> untuk menonjolkan pola umum, sedangkan pooling "</w:t>
      </w:r>
      <w:r>
        <w:rPr>
          <w:i/>
        </w:rPr>
        <w:t>att</w:t>
      </w:r>
      <w:r>
        <w:rPr>
          <w:i/>
          <w:lang w:val="en-US"/>
        </w:rPr>
        <w:t>ention</w:t>
      </w:r>
      <w:r>
        <w:t xml:space="preserve">" menggunakan </w:t>
      </w:r>
      <w:r>
        <w:rPr>
          <w:i/>
        </w:rPr>
        <w:t>attention</w:t>
      </w:r>
      <w:r>
        <w:t xml:space="preserve"> tambahan untuk memberikan bobot berbeda pada setiap waktu secara adaptif. </w:t>
      </w:r>
    </w:p>
    <w:p w14:paraId="7041B5F2">
      <w:pPr>
        <w:ind w:left="284" w:firstLine="720"/>
        <w:rPr>
          <w:lang w:val="en-US"/>
        </w:rPr>
      </w:pPr>
      <w:r>
        <w:t xml:space="preserve">Setelah informasi </w:t>
      </w:r>
      <w:r>
        <w:rPr>
          <w:i/>
        </w:rPr>
        <w:t>time series</w:t>
      </w:r>
      <w:r>
        <w:t xml:space="preserve"> diringkas oleh modul </w:t>
      </w:r>
      <w:r>
        <w:rPr>
          <w:i/>
        </w:rPr>
        <w:t>pooling</w:t>
      </w:r>
      <w:r>
        <w:t xml:space="preserve">, hasil tersebut diteruskan ke bagian akhir model yang berfungsi sebagai </w:t>
      </w:r>
      <w:r>
        <w:rPr>
          <w:i/>
          <w:lang w:val="en-US"/>
        </w:rPr>
        <w:t xml:space="preserve">head </w:t>
      </w:r>
      <w:r>
        <w:t xml:space="preserve"> untuk menghasilkan prediksi. Bagian ini mengimplementasikan skema </w:t>
      </w:r>
      <w:r>
        <w:rPr>
          <w:i/>
        </w:rPr>
        <w:t>multi-horizon prediction</w:t>
      </w:r>
      <w:r>
        <w:t>, satu vektor ringkasan langsung diubah menjadi beberapa angka prediksi untuk beberapa dasarian ke depan sekaligus (berukuran [</w:t>
      </w:r>
      <w:r>
        <w:rPr>
          <w:rFonts w:ascii="Courier New" w:hAnsi="Courier New" w:cs="Courier New"/>
          <w:sz w:val="20"/>
          <w:szCs w:val="20"/>
        </w:rPr>
        <w:t>B</w:t>
      </w:r>
      <w:r>
        <w:t xml:space="preserve">, </w:t>
      </w:r>
      <w:r>
        <w:rPr>
          <w:rFonts w:ascii="Courier New" w:hAnsi="Courier New" w:cs="Courier New"/>
          <w:sz w:val="20"/>
          <w:szCs w:val="20"/>
        </w:rPr>
        <w:t>horizon</w:t>
      </w:r>
      <w:r>
        <w:t xml:space="preserve">]). </w:t>
      </w:r>
      <w:r>
        <w:rPr>
          <w:lang w:val="en-US"/>
        </w:rPr>
        <w:t>L</w:t>
      </w:r>
      <w:r>
        <w:t>angkah ini bertujuan mengubah ringkasan informasi cuaca masa lalu menjadi nilai curah hujan yang akan datang pada beberapa periode waktu</w:t>
      </w:r>
      <w:r>
        <w:rPr>
          <w:lang w:val="en-US"/>
        </w:rPr>
        <w:t xml:space="preserve"> (</w:t>
      </w:r>
      <w:r>
        <w:rPr>
          <w:i/>
          <w:lang w:val="en-US"/>
        </w:rPr>
        <w:t>horizon)</w:t>
      </w:r>
      <w:r>
        <w:t xml:space="preserve"> </w:t>
      </w:r>
      <w:r>
        <w:rPr>
          <w:lang w:val="en-US"/>
        </w:rPr>
        <w:t>dan tempat (</w:t>
      </w:r>
      <w:r>
        <w:rPr>
          <w:i/>
          <w:lang w:val="en-US"/>
        </w:rPr>
        <w:t>batch</w:t>
      </w:r>
      <w:r>
        <w:rPr>
          <w:lang w:val="en-US"/>
        </w:rPr>
        <w:t xml:space="preserve">) </w:t>
      </w:r>
      <w:r>
        <w:t>sekaligus, tanpa perlu memprediksi satu per satu secara berulang.</w:t>
      </w:r>
      <w:r>
        <w:rPr>
          <w:lang w:val="en-US"/>
        </w:rPr>
        <w:t xml:space="preserve"> </w:t>
      </w:r>
    </w:p>
    <w:p w14:paraId="23EE04F8">
      <w:pPr>
        <w:pStyle w:val="4"/>
        <w:rPr>
          <w:lang w:val="en-US"/>
        </w:rPr>
      </w:pPr>
      <w:bookmarkStart w:id="65" w:name="_Toc236076743"/>
      <w:r>
        <w:t>3.3.3 Modul Algoritma IFPOA-X</w:t>
      </w:r>
      <w:r>
        <w:rPr>
          <w:lang w:val="en-US"/>
        </w:rPr>
        <w:t xml:space="preserve"> dan Komparasi dengan FPA</w:t>
      </w:r>
      <w:bookmarkEnd w:id="65"/>
    </w:p>
    <w:p w14:paraId="7D4161E7">
      <w:pPr>
        <w:keepNext/>
        <w:spacing w:after="0"/>
        <w:jc w:val="center"/>
      </w:pPr>
      <w:r>
        <w:rPr>
          <w:lang w:val="en-US"/>
        </w:rPr>
        <w:drawing>
          <wp:inline distT="0" distB="0" distL="0" distR="0">
            <wp:extent cx="3807460" cy="487680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812247" cy="4882388"/>
                    </a:xfrm>
                    <a:prstGeom prst="rect">
                      <a:avLst/>
                    </a:prstGeom>
                  </pic:spPr>
                </pic:pic>
              </a:graphicData>
            </a:graphic>
          </wp:inline>
        </w:drawing>
      </w:r>
    </w:p>
    <w:p w14:paraId="5055C384">
      <w:pPr>
        <w:pStyle w:val="11"/>
        <w:keepNext/>
        <w:spacing w:after="0"/>
        <w:jc w:val="center"/>
        <w:rPr>
          <w:b/>
          <w:i w:val="0"/>
          <w:color w:val="auto"/>
          <w:sz w:val="24"/>
        </w:rPr>
      </w:pPr>
      <w:bookmarkStart w:id="66" w:name="_Toc236077407"/>
      <w:r>
        <w:rPr>
          <w:b/>
          <w:i w:val="0"/>
          <w:color w:val="auto"/>
          <w:sz w:val="24"/>
        </w:rPr>
        <w:t xml:space="preserve">Gambar 3.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12</w:t>
      </w:r>
      <w:r>
        <w:rPr>
          <w:b/>
          <w:i w:val="0"/>
          <w:color w:val="auto"/>
          <w:sz w:val="24"/>
        </w:rPr>
        <w:fldChar w:fldCharType="end"/>
      </w:r>
      <w:r>
        <w:rPr>
          <w:b/>
          <w:i w:val="0"/>
          <w:color w:val="auto"/>
          <w:sz w:val="24"/>
        </w:rPr>
        <w:t xml:space="preserve"> Arsitektur Algoritma FPA</w:t>
      </w:r>
      <w:bookmarkEnd w:id="66"/>
    </w:p>
    <w:p w14:paraId="053A8EAD">
      <w:pPr>
        <w:spacing w:after="0"/>
        <w:jc w:val="center"/>
        <w:rPr>
          <w:lang w:val="en-US"/>
        </w:rPr>
      </w:pPr>
      <w:r>
        <w:rPr>
          <w:lang w:val="en-US"/>
        </w:rPr>
        <w:t xml:space="preserve">Sumber: </w:t>
      </w:r>
      <w:r>
        <w:rPr>
          <w:lang w:val="en-US"/>
        </w:rPr>
        <w:fldChar w:fldCharType="begin" w:fldLock="1"/>
      </w:r>
      <w:r>
        <w:rPr>
          <w:lang w:val="en-US"/>
        </w:rPr>
        <w:instrText xml:space="preserve">ADDIN CSL_CITATION {"citationItems":[{"id":"ITEM-1","itemData":{"DOI":"10.1007/978-3-319-67669-2_5","ISBN":"978-3-319-67668-5","author":[{"dropping-particle":"","family":"Alyasseri","given":"Zaid","non-dropping-particle":"","parse-names":false,"suffix":""},{"dropping-particle":"","family":"Khader","given":"Ahamad Tajudin","non-dropping-particle":"","parse-names":false,"suffix":""},{"dropping-particle":"","family":"Al-Betar","given":"Mohammed","non-dropping-particle":"","parse-names":false,"suffix":""},{"dropping-particle":"","family":"Awadallah","given":"Mohammed","non-dropping-particle":"","parse-names":false,"suffix":""},{"dropping-particle":"","family":"Yang","given":"Xin-She","non-dropping-particle":"","parse-names":false,"suffix":""}],"container-title":"Studies in Computational Intelligence","id":"ITEM-1","issued":{"date-parts":[["2018","1","1"]]},"page":"91-118","title":"Variants of the Flower Pollination Algorithm: A Review","type":"chapter"},"uris":["http://www.mendeley.com/documents/?uuid=0a3bda3a-6419-4627-b936-b2b6ca7473d1"]}],"mendeley":{"formattedCitation":"(Alyasseri dkk., 2018)","manualFormatting":"(Alyasseri dkk., 2018)","plainTextFormattedCitation":"(Alyasseri dkk., 2018)","previouslyFormattedCitation":"(Alyasseri &lt;i&gt;et al.&lt;/i&gt;, 2018)"},"properties":{"noteIndex":0},"schema":"https://github.com/citation-style-language/schema/raw/master/csl-citation.json"}</w:instrText>
      </w:r>
      <w:r>
        <w:rPr>
          <w:lang w:val="en-US"/>
        </w:rPr>
        <w:fldChar w:fldCharType="separate"/>
      </w:r>
      <w:r>
        <w:rPr>
          <w:lang w:val="en-US"/>
        </w:rPr>
        <w:t>(Alyasseri dkk</w:t>
      </w:r>
      <w:r>
        <w:rPr>
          <w:i/>
          <w:lang w:val="en-US"/>
        </w:rPr>
        <w:t>.</w:t>
      </w:r>
      <w:r>
        <w:rPr>
          <w:lang w:val="en-US"/>
        </w:rPr>
        <w:t>, 2018)</w:t>
      </w:r>
      <w:r>
        <w:rPr>
          <w:lang w:val="en-US"/>
        </w:rPr>
        <w:fldChar w:fldCharType="end"/>
      </w:r>
    </w:p>
    <w:p w14:paraId="32802FA8">
      <w:pPr>
        <w:spacing w:after="0"/>
        <w:ind w:firstLine="567"/>
        <w:rPr>
          <w:lang w:val="en-US"/>
        </w:rPr>
      </w:pPr>
      <w:r>
        <w:t>Secara mendasar, perbedaan IFPOA-X dibandingkan FPA standar terletak pada transformasi mekanisme pencarian dari pendekatan stokastik statis menjadi sistem</w:t>
      </w:r>
      <w:r>
        <w:rPr>
          <w:lang w:val="en-US"/>
        </w:rPr>
        <w:t xml:space="preserve"> </w:t>
      </w:r>
      <w:r>
        <w:t>adaptif yang efisien.</w:t>
      </w:r>
      <w:r>
        <w:rPr>
          <w:lang w:val="en-US"/>
        </w:rPr>
        <w:t xml:space="preserve"> Gambar 3. 12 adalah arsitektur FPA asli.</w:t>
      </w:r>
    </w:p>
    <w:p w14:paraId="7AB10B55">
      <w:pPr>
        <w:spacing w:after="0"/>
        <w:ind w:firstLine="567"/>
        <w:rPr>
          <w:lang w:val="en-US"/>
        </w:rPr>
      </w:pPr>
      <w:r>
        <w:rPr>
          <w:rFonts w:eastAsia="Times New Roman" w:cs="Times New Roman"/>
          <w:szCs w:val="24"/>
        </w:rPr>
        <w:t xml:space="preserve">Jika FPA standar hanya mengandalkan probabilitas tetap </w:t>
      </w:r>
      <w:r>
        <w:rPr>
          <w:rFonts w:eastAsia="Times New Roman" w:cs="Times New Roman"/>
          <w:szCs w:val="24"/>
          <w:lang w:val="en-US"/>
        </w:rPr>
        <w:t>(</w:t>
      </w:r>
      <w:r>
        <w:rPr>
          <w:rFonts w:eastAsia="Times New Roman" w:cs="Times New Roman"/>
          <w:i/>
          <w:szCs w:val="24"/>
          <w:lang w:val="en-US"/>
        </w:rPr>
        <w:t>p</w:t>
      </w:r>
      <w:r>
        <w:rPr>
          <w:rFonts w:eastAsia="Times New Roman" w:cs="Times New Roman"/>
          <w:szCs w:val="24"/>
          <w:lang w:val="en-US"/>
        </w:rPr>
        <w:t>)</w:t>
      </w:r>
      <w:r>
        <w:rPr>
          <w:rFonts w:eastAsia="Times New Roman" w:cs="Times New Roman"/>
          <w:szCs w:val="24"/>
        </w:rPr>
        <w:t xml:space="preserve"> dan </w:t>
      </w:r>
      <w:r>
        <w:rPr>
          <w:rFonts w:eastAsia="Times New Roman" w:cs="Times New Roman"/>
          <w:i/>
          <w:iCs/>
          <w:szCs w:val="24"/>
        </w:rPr>
        <w:t>random walk</w:t>
      </w:r>
      <w:r>
        <w:rPr>
          <w:rFonts w:eastAsia="Times New Roman" w:cs="Times New Roman"/>
          <w:szCs w:val="24"/>
        </w:rPr>
        <w:t xml:space="preserve"> "buta" tanpa memori, IFPOA-X mengintegrasikan </w:t>
      </w:r>
      <w:r>
        <w:rPr>
          <w:rFonts w:eastAsia="Times New Roman" w:cs="Times New Roman"/>
          <w:bCs/>
          <w:szCs w:val="24"/>
        </w:rPr>
        <w:t>UCB1</w:t>
      </w:r>
      <w:r>
        <w:rPr>
          <w:rFonts w:eastAsia="Times New Roman" w:cs="Times New Roman"/>
          <w:szCs w:val="24"/>
        </w:rPr>
        <w:t xml:space="preserve"> untuk menyeimbangkan strategi eksplorasi-eksploitasi secara cerdas berdasarkan riwayat keberhasilan, serta mengganti pencarian lokal acak dengan </w:t>
      </w:r>
      <w:r>
        <w:rPr>
          <w:rFonts w:eastAsia="Times New Roman" w:cs="Times New Roman"/>
          <w:bCs/>
          <w:szCs w:val="24"/>
        </w:rPr>
        <w:t>JADE</w:t>
      </w:r>
      <w:r>
        <w:rPr>
          <w:rFonts w:eastAsia="Times New Roman" w:cs="Times New Roman"/>
          <w:szCs w:val="24"/>
        </w:rPr>
        <w:t xml:space="preserve"> yang terpandu arsip solusi. Selain itu, penambahan mekanisme </w:t>
      </w:r>
      <w:r>
        <w:rPr>
          <w:rFonts w:eastAsia="Times New Roman" w:cs="Times New Roman"/>
          <w:bCs/>
          <w:szCs w:val="24"/>
        </w:rPr>
        <w:t>OBL</w:t>
      </w:r>
      <w:r>
        <w:rPr>
          <w:rFonts w:eastAsia="Times New Roman" w:cs="Times New Roman"/>
          <w:szCs w:val="24"/>
        </w:rPr>
        <w:t xml:space="preserve"> mencegah stagnasi pada optimum lokal, sementara integrasi </w:t>
      </w:r>
      <w:r>
        <w:rPr>
          <w:rFonts w:eastAsia="Times New Roman" w:cs="Times New Roman"/>
          <w:bCs/>
          <w:szCs w:val="24"/>
        </w:rPr>
        <w:t>ASHA</w:t>
      </w:r>
      <w:r>
        <w:rPr>
          <w:rFonts w:eastAsia="Times New Roman" w:cs="Times New Roman"/>
          <w:szCs w:val="24"/>
        </w:rPr>
        <w:t xml:space="preserve"> memastikan efisiensi komputasi dengan memangkas evaluasi kandidat buruk lebih awal (</w:t>
      </w:r>
      <w:r>
        <w:rPr>
          <w:rFonts w:eastAsia="Times New Roman" w:cs="Times New Roman"/>
          <w:i/>
          <w:iCs/>
          <w:szCs w:val="24"/>
        </w:rPr>
        <w:t>early stopping</w:t>
      </w:r>
      <w:r>
        <w:rPr>
          <w:rFonts w:eastAsia="Times New Roman" w:cs="Times New Roman"/>
          <w:szCs w:val="24"/>
        </w:rPr>
        <w:t>), sebuah fitur manajemen sumber daya yang absen pada FPA konvensional.</w:t>
      </w:r>
      <w:r>
        <w:rPr>
          <w:rFonts w:eastAsia="Times New Roman" w:cs="Times New Roman"/>
          <w:szCs w:val="24"/>
          <w:lang w:val="en-US"/>
        </w:rPr>
        <w:t xml:space="preserve"> Arsitektur IFPOA-X dijelaskan di Gambar 3. 13 berikut.</w:t>
      </w:r>
    </w:p>
    <w:p w14:paraId="750CAAC5">
      <w:pPr>
        <w:keepNext/>
        <w:spacing w:after="0"/>
      </w:pPr>
      <w:r>
        <w:drawing>
          <wp:inline distT="0" distB="0" distL="0" distR="0">
            <wp:extent cx="5003800" cy="821245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020531" cy="8239653"/>
                    </a:xfrm>
                    <a:prstGeom prst="rect">
                      <a:avLst/>
                    </a:prstGeom>
                  </pic:spPr>
                </pic:pic>
              </a:graphicData>
            </a:graphic>
          </wp:inline>
        </w:drawing>
      </w:r>
    </w:p>
    <w:p w14:paraId="0200412E">
      <w:pPr>
        <w:pStyle w:val="11"/>
        <w:keepNext/>
        <w:jc w:val="center"/>
        <w:rPr>
          <w:b/>
          <w:i w:val="0"/>
          <w:color w:val="auto"/>
          <w:sz w:val="24"/>
        </w:rPr>
      </w:pPr>
      <w:bookmarkStart w:id="67" w:name="_Toc236077408"/>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13</w:t>
      </w:r>
      <w:r>
        <w:rPr>
          <w:b/>
          <w:i w:val="0"/>
          <w:color w:val="auto"/>
          <w:sz w:val="24"/>
        </w:rPr>
        <w:fldChar w:fldCharType="end"/>
      </w:r>
      <w:r>
        <w:rPr>
          <w:b/>
          <w:i w:val="0"/>
          <w:color w:val="auto"/>
          <w:sz w:val="24"/>
        </w:rPr>
        <w:t xml:space="preserve"> Arsitektur Algoritma IFPOA-X</w:t>
      </w:r>
      <w:bookmarkEnd w:id="67"/>
    </w:p>
    <w:p w14:paraId="5ED12DB1">
      <w:pPr>
        <w:spacing w:after="0"/>
        <w:ind w:firstLine="567"/>
        <w:rPr>
          <w:lang w:val="en-US"/>
        </w:rPr>
      </w:pPr>
      <w:r>
        <w:rPr>
          <w:lang w:val="en-US"/>
        </w:rPr>
        <w:t xml:space="preserve">Modul algoritma IFPOA-X merupakan inti dari sistem optimasi </w:t>
      </w:r>
      <w:r>
        <w:rPr>
          <w:i/>
          <w:lang w:val="en-US"/>
        </w:rPr>
        <w:t>hyperparameter</w:t>
      </w:r>
      <w:r>
        <w:rPr>
          <w:lang w:val="en-US"/>
        </w:rPr>
        <w:t xml:space="preserve"> multiobjektif yang dikembangkan dalam penelitian ini. </w:t>
      </w:r>
      <w:r>
        <w:t>Implementasi IFPOA-X dibangun di atas dua kelas Python utama yang saling terintegrasi. Kelas pertama</w:t>
      </w:r>
      <w:r>
        <w:rPr>
          <w:lang w:val="en-US"/>
        </w:rPr>
        <w:t xml:space="preserve"> </w:t>
      </w:r>
      <w:r>
        <w:t>berperan sebagai pusat penyimpanan seluruh konfigurasi hyperparameter algoritma. Konfigurasi ini mencakup parameter dasar seperti ukuran populasi (</w:t>
      </w:r>
      <w:r>
        <w:rPr>
          <w:i/>
          <w:iCs/>
        </w:rPr>
        <w:t>population</w:t>
      </w:r>
      <w:r>
        <w:t>), anggaran evaluasi (</w:t>
      </w:r>
      <w:r>
        <w:rPr>
          <w:i/>
          <w:iCs/>
        </w:rPr>
        <w:t>budget_ffe</w:t>
      </w:r>
      <w:r>
        <w:t>), batas waktu (</w:t>
      </w:r>
      <w:r>
        <w:rPr>
          <w:i/>
          <w:iCs/>
        </w:rPr>
        <w:t>max_time_hours</w:t>
      </w:r>
      <w:r>
        <w:t>), serta definisi tingkatan untuk ASHA.</w:t>
      </w:r>
    </w:p>
    <w:p w14:paraId="19D2D10C">
      <w:pPr>
        <w:ind w:firstLine="720"/>
      </w:pPr>
      <w:r>
        <w:t>Kelas kedua</w:t>
      </w:r>
      <w:r>
        <w:rPr>
          <w:lang w:val="en-US"/>
        </w:rPr>
        <w:t xml:space="preserve"> </w:t>
      </w:r>
      <w:r>
        <w:t>berfungsi sebagai pengelola logika optimasi utama. Kelas ini menangani:</w:t>
      </w:r>
    </w:p>
    <w:p w14:paraId="47AA797F">
      <w:pPr>
        <w:pStyle w:val="33"/>
        <w:numPr>
          <w:ilvl w:val="0"/>
          <w:numId w:val="23"/>
        </w:numPr>
      </w:pPr>
      <w:r>
        <w:t>Manajemen Populasi: Menyimpan kandidat solusi dalam ruang hyperparameter (</w:t>
      </w:r>
      <w:r>
        <w:rPr>
          <w:i/>
          <w:iCs/>
        </w:rPr>
        <w:t>search space</w:t>
      </w:r>
      <w:r>
        <w:t>) dan bentuk ternormalisasinya (</w:t>
      </w:r>
      <w:r>
        <w:rPr>
          <w:i/>
          <w:iCs/>
        </w:rPr>
        <w:t>unit space</w:t>
      </w:r>
      <w:r>
        <w:t>).</w:t>
      </w:r>
    </w:p>
    <w:p w14:paraId="7203E98E">
      <w:pPr>
        <w:pStyle w:val="33"/>
        <w:numPr>
          <w:ilvl w:val="0"/>
          <w:numId w:val="23"/>
        </w:numPr>
      </w:pPr>
      <w:r>
        <w:t>Status Evaluasi: Mencatat nilai kebugaran (</w:t>
      </w:r>
      <w:r>
        <w:rPr>
          <w:i/>
          <w:iCs/>
        </w:rPr>
        <w:t>fitness</w:t>
      </w:r>
      <w:r>
        <w:t>) setiap individu serta melacak posisi tingkatan ASHA (</w:t>
      </w:r>
      <w:r>
        <w:rPr>
          <w:i/>
          <w:iCs/>
        </w:rPr>
        <w:t>rung_index</w:t>
      </w:r>
      <w:r>
        <w:t>) masing-masing kandidat.</w:t>
      </w:r>
    </w:p>
    <w:p w14:paraId="1B23E66C">
      <w:pPr>
        <w:pStyle w:val="33"/>
        <w:numPr>
          <w:ilvl w:val="0"/>
          <w:numId w:val="23"/>
        </w:numPr>
      </w:pPr>
      <w:r>
        <w:t>Struktur Pendukung: Mengelola pelacakan riwayat (</w:t>
      </w:r>
      <w:r>
        <w:rPr>
          <w:i/>
          <w:iCs/>
        </w:rPr>
        <w:t>history tracking</w:t>
      </w:r>
      <w:r>
        <w:t>), status bandit UCB1, dan arsip eksternal untuk operator JADE.</w:t>
      </w:r>
    </w:p>
    <w:p w14:paraId="4B4B7E32">
      <w:pPr>
        <w:ind w:firstLine="720"/>
        <w:rPr>
          <w:i/>
        </w:rPr>
      </w:pPr>
      <w:r>
        <w:t>IFPOA-X dirancang untuk meminimalkan tiga fungsi tujuan secara simultan, yaitu kesalahan prediksi, risiko ketidakstabilan model, dan kompleksitas komputasi. Proses optimasi berjalan mengikuti alur berikut sesuai diagram alur sistem:</w:t>
      </w:r>
    </w:p>
    <w:p w14:paraId="2A353083">
      <w:pPr>
        <w:pStyle w:val="33"/>
        <w:numPr>
          <w:ilvl w:val="0"/>
          <w:numId w:val="24"/>
        </w:numPr>
      </w:pPr>
      <w:r>
        <w:t xml:space="preserve">Inisialisasi </w:t>
      </w:r>
      <w:r>
        <w:rPr>
          <w:lang w:val="en-US"/>
        </w:rPr>
        <w:t>dan e</w:t>
      </w:r>
      <w:r>
        <w:t xml:space="preserve">valuasi </w:t>
      </w:r>
      <w:r>
        <w:rPr>
          <w:lang w:val="en-US"/>
        </w:rPr>
        <w:t>a</w:t>
      </w:r>
      <w:r>
        <w:t>wal</w:t>
      </w:r>
      <w:r>
        <w:rPr>
          <w:lang w:val="en-US"/>
        </w:rPr>
        <w:t xml:space="preserve">: </w:t>
      </w:r>
      <w:r>
        <w:t>Algoritma dimulai dengan membangkitkan populasi awal secara acak. Setiap kandidat dievaluasi pada tingkat terendah (Rung 0). Hasil evaluasi disimpan ke dalam Arsip Pareto untuk melacak solusi terbaik.</w:t>
      </w:r>
    </w:p>
    <w:p w14:paraId="5592DE17">
      <w:pPr>
        <w:pStyle w:val="33"/>
        <w:numPr>
          <w:ilvl w:val="0"/>
          <w:numId w:val="24"/>
        </w:numPr>
      </w:pPr>
      <w:r>
        <w:t xml:space="preserve">Generasi </w:t>
      </w:r>
      <w:r>
        <w:rPr>
          <w:lang w:val="en-US"/>
        </w:rPr>
        <w:t>s</w:t>
      </w:r>
      <w:r>
        <w:t xml:space="preserve">olusi </w:t>
      </w:r>
      <w:r>
        <w:rPr>
          <w:lang w:val="en-US"/>
        </w:rPr>
        <w:t>b</w:t>
      </w:r>
      <w:r>
        <w:t>aru:</w:t>
      </w:r>
      <w:r>
        <w:rPr>
          <w:lang w:val="en-US"/>
        </w:rPr>
        <w:t xml:space="preserve"> </w:t>
      </w:r>
      <w:r>
        <w:t>Pada setiap iterasi, sistem menggunakan mekanisme Bandit UCB1 untuk memilih strategi mutasi secara adaptif:</w:t>
      </w:r>
    </w:p>
    <w:p w14:paraId="7E5F03A6">
      <w:pPr>
        <w:pStyle w:val="33"/>
        <w:numPr>
          <w:ilvl w:val="0"/>
          <w:numId w:val="25"/>
        </w:numPr>
        <w:ind w:left="1134"/>
      </w:pPr>
      <w:r>
        <w:t>Operator Global (</w:t>
      </w:r>
      <w:r>
        <w:rPr>
          <w:i/>
        </w:rPr>
        <w:t>Lévy Flight</w:t>
      </w:r>
      <w:r>
        <w:t>): Digunakan untuk eksplorasi jarak jauh di ruang pencarian (</w:t>
      </w:r>
      <w:r>
        <w:rPr>
          <w:i/>
        </w:rPr>
        <w:t>search space</w:t>
      </w:r>
      <w:r>
        <w:t>)</w:t>
      </w:r>
      <w:r>
        <w:rPr>
          <w:lang w:val="en-US"/>
        </w:rPr>
        <w:t xml:space="preserve">, </w:t>
      </w:r>
      <w:r>
        <w:t>bertujuan mencari area solusi baru yang belum terjamah.</w:t>
      </w:r>
    </w:p>
    <w:p w14:paraId="1E1BFBB5">
      <w:pPr>
        <w:pStyle w:val="33"/>
        <w:numPr>
          <w:ilvl w:val="0"/>
          <w:numId w:val="25"/>
        </w:numPr>
        <w:ind w:left="1134"/>
      </w:pPr>
      <w:r>
        <w:t>Operator Lokal (JADE): Digunakan untuk eksploitasi lokal guna memoles solusi di sekitar kandidat terbai</w:t>
      </w:r>
      <w:r>
        <w:rPr>
          <w:lang w:val="en-US"/>
        </w:rPr>
        <w:t>k</w:t>
      </w:r>
      <w:r>
        <w:t>.</w:t>
      </w:r>
    </w:p>
    <w:p w14:paraId="329400BB">
      <w:pPr>
        <w:pStyle w:val="33"/>
        <w:numPr>
          <w:ilvl w:val="0"/>
          <w:numId w:val="24"/>
        </w:numPr>
      </w:pPr>
      <w:r>
        <w:t>Mekanisme Seleksi</w:t>
      </w:r>
      <w:r>
        <w:rPr>
          <w:lang w:val="en-US"/>
        </w:rPr>
        <w:t xml:space="preserve"> </w:t>
      </w:r>
      <w:r>
        <w:t>ASHA:</w:t>
      </w:r>
      <w:r>
        <w:rPr>
          <w:lang w:val="en-US"/>
        </w:rPr>
        <w:t xml:space="preserve"> </w:t>
      </w:r>
      <w:r>
        <w:t>Setelah kandidat dievaluasi, mekanisme ASHA diterapkan untuk efisiensi komputasi dengan aturan promosi dan eliminasi yang ketat:</w:t>
      </w:r>
    </w:p>
    <w:p w14:paraId="72ECE5B0">
      <w:pPr>
        <w:pStyle w:val="33"/>
        <w:numPr>
          <w:ilvl w:val="0"/>
          <w:numId w:val="26"/>
        </w:numPr>
        <w:ind w:left="1276" w:hanging="425"/>
      </w:pPr>
      <w:r>
        <w:t>Promosi: Kandidat yang terbukti unggul</w:t>
      </w:r>
      <w:r>
        <w:rPr>
          <w:lang w:val="en-US"/>
        </w:rPr>
        <w:t xml:space="preserve"> </w:t>
      </w:r>
      <w:r>
        <w:t xml:space="preserve">akan dipromosikan ke </w:t>
      </w:r>
      <w:r>
        <w:rPr>
          <w:i/>
          <w:iCs/>
        </w:rPr>
        <w:t>Rung</w:t>
      </w:r>
      <w:r>
        <w:t xml:space="preserve"> berikutnya. Pada tahap ini, konfigurasi </w:t>
      </w:r>
      <w:r>
        <w:rPr>
          <w:i/>
        </w:rPr>
        <w:t>hyperparameter</w:t>
      </w:r>
      <w:r>
        <w:t xml:space="preserve"> kandidat dipertahankan (tidak diubah), namun jatah pelatihan (</w:t>
      </w:r>
      <w:r>
        <w:rPr>
          <w:i/>
          <w:iCs/>
        </w:rPr>
        <w:t>epochs</w:t>
      </w:r>
      <w:r>
        <w:t>) ditingkatkan (Rung 0: 20 epochs</w:t>
      </w:r>
      <w:r>
        <w:rPr>
          <w:lang w:val="en-US"/>
        </w:rPr>
        <w:t xml:space="preserve"> </w:t>
      </w:r>
      <w:r>
        <w:rPr>
          <w:rFonts w:ascii="Arial" w:hAnsi="Arial" w:cs="Arial"/>
          <w:color w:val="1F1F1F"/>
          <w:sz w:val="21"/>
          <w:szCs w:val="21"/>
          <w:shd w:val="clear" w:color="auto" w:fill="FFFFFF"/>
        </w:rPr>
        <w:t>→</w:t>
      </w:r>
      <w:r>
        <w:rPr>
          <w:lang w:val="en-US"/>
        </w:rPr>
        <w:t xml:space="preserve"> </w:t>
      </w:r>
      <w:r>
        <w:t>Rung 1: 60</w:t>
      </w:r>
      <w:r>
        <w:rPr>
          <w:lang w:val="en-US"/>
        </w:rPr>
        <w:t xml:space="preserve"> </w:t>
      </w:r>
      <w:r>
        <w:rPr>
          <w:rFonts w:ascii="Arial" w:hAnsi="Arial" w:cs="Arial"/>
          <w:color w:val="1F1F1F"/>
          <w:sz w:val="21"/>
          <w:szCs w:val="21"/>
          <w:shd w:val="clear" w:color="auto" w:fill="FFFFFF"/>
        </w:rPr>
        <w:t>→</w:t>
      </w:r>
      <w:r>
        <w:rPr>
          <w:rFonts w:ascii="Arial" w:hAnsi="Arial" w:cs="Arial"/>
          <w:color w:val="1F1F1F"/>
          <w:sz w:val="21"/>
          <w:szCs w:val="21"/>
          <w:shd w:val="clear" w:color="auto" w:fill="FFFFFF"/>
          <w:lang w:val="en-US"/>
        </w:rPr>
        <w:t xml:space="preserve"> </w:t>
      </w:r>
      <w:r>
        <w:t>Rung 2: 120 epochs) untuk memvalidasi akurasi secara lebih mendalam.</w:t>
      </w:r>
    </w:p>
    <w:p w14:paraId="05349664">
      <w:pPr>
        <w:pStyle w:val="33"/>
        <w:numPr>
          <w:ilvl w:val="0"/>
          <w:numId w:val="26"/>
        </w:numPr>
        <w:ind w:left="1276" w:hanging="425"/>
      </w:pPr>
      <w:r>
        <w:t>Eliminasi: Kandidat yang berkinerja buruk langsung dihentikan (</w:t>
      </w:r>
      <w:r>
        <w:rPr>
          <w:i/>
          <w:iCs/>
        </w:rPr>
        <w:t>early stopping</w:t>
      </w:r>
      <w:r>
        <w:t>) untuk menghemat sumber daya. Kandidat tersebut dihapus dan digantikan oleh kandidat baru yang dibangkitkan ulang (</w:t>
      </w:r>
      <w:r>
        <w:rPr>
          <w:i/>
          <w:iCs/>
        </w:rPr>
        <w:t>respawn</w:t>
      </w:r>
      <w:r>
        <w:t>) menggunakan Lévy Flight dari awal (Rung 0), memberikan kesempatan bagi algoritma untuk mengeksplorasi kembali area pencarian global.</w:t>
      </w:r>
    </w:p>
    <w:p w14:paraId="4D7A1AC6">
      <w:pPr>
        <w:pStyle w:val="33"/>
        <w:numPr>
          <w:ilvl w:val="0"/>
          <w:numId w:val="24"/>
        </w:numPr>
      </w:pPr>
      <w:r>
        <w:t>OBL:</w:t>
      </w:r>
      <w:r>
        <w:rPr>
          <w:lang w:val="en-US"/>
        </w:rPr>
        <w:t xml:space="preserve"> </w:t>
      </w:r>
      <w:r>
        <w:t>Secara periodik, mekanisme OBL dijalankan untuk mengevaluasi solusi lawan (</w:t>
      </w:r>
      <w:r>
        <w:rPr>
          <w:i/>
          <w:iCs/>
        </w:rPr>
        <w:t>opposite</w:t>
      </w:r>
      <w:r>
        <w:t>) dari kandidat. Jika solusi lawan terbukti lebih dominan secara Pareto dibandingkan kandidat terburuk di populasi, maka solusi lawan tersebut akan menggantikan posisi kandidat terburuk.</w:t>
      </w:r>
    </w:p>
    <w:p w14:paraId="6061EA5B">
      <w:pPr>
        <w:spacing w:after="0"/>
        <w:rPr>
          <w:lang w:val="en-US"/>
        </w:rPr>
      </w:pPr>
      <w:r>
        <w:rPr>
          <w:lang w:val="en-US"/>
        </w:rPr>
        <w:tab/>
      </w:r>
      <w:r>
        <w:rPr>
          <w:lang w:val="en-US"/>
        </w:rPr>
        <w:t>Secara umum, IFPOA-X dirancang untuk menguji apakah integrasi OBL, UCB1, JADE-style local search, dan ASHA dapat memperbaiki kualitas pencarian serta efisiensi evaluasi dibandingkan FPA standar. Efektivitas setiap mekanisme tidak diasumsikan sejak awal, tetapi dievaluasi melalui pengujian benchmark dan studi ablasi. Perbandingan antara FPA dan IFPOA-X dirangkum dalam Tabel 3. 7 berikut:</w:t>
      </w:r>
    </w:p>
    <w:p w14:paraId="27688964">
      <w:pPr>
        <w:pStyle w:val="11"/>
        <w:keepNext/>
        <w:jc w:val="center"/>
        <w:rPr>
          <w:b/>
          <w:i w:val="0"/>
          <w:color w:val="auto"/>
          <w:sz w:val="24"/>
        </w:rPr>
      </w:pPr>
      <w:bookmarkStart w:id="68" w:name="_Toc235035447"/>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7</w:t>
      </w:r>
      <w:r>
        <w:rPr>
          <w:b/>
          <w:i w:val="0"/>
          <w:color w:val="auto"/>
          <w:sz w:val="24"/>
        </w:rPr>
        <w:fldChar w:fldCharType="end"/>
      </w:r>
      <w:r>
        <w:rPr>
          <w:b/>
          <w:i w:val="0"/>
          <w:color w:val="auto"/>
          <w:sz w:val="24"/>
        </w:rPr>
        <w:t xml:space="preserve"> Komparasi FPA dan IFPOA-X</w:t>
      </w:r>
      <w:bookmarkEnd w:id="68"/>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923"/>
        <w:gridCol w:w="2413"/>
        <w:gridCol w:w="3307"/>
      </w:tblGrid>
      <w:tr w14:paraId="42D1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trPr>
        <w:tc>
          <w:tcPr>
            <w:tcW w:w="0" w:type="auto"/>
            <w:vAlign w:val="center"/>
          </w:tcPr>
          <w:p w14:paraId="706B7D1E">
            <w:pPr>
              <w:spacing w:after="0" w:line="240" w:lineRule="auto"/>
              <w:jc w:val="center"/>
              <w:rPr>
                <w:rFonts w:eastAsia="Times New Roman" w:cs="Times New Roman"/>
                <w:color w:val="1F1F1F"/>
                <w:szCs w:val="24"/>
              </w:rPr>
            </w:pPr>
            <w:r>
              <w:rPr>
                <w:rFonts w:eastAsia="Times New Roman" w:cs="Times New Roman"/>
                <w:b/>
                <w:bCs/>
                <w:color w:val="1F1F1F"/>
                <w:szCs w:val="24"/>
              </w:rPr>
              <w:t>No</w:t>
            </w:r>
          </w:p>
        </w:tc>
        <w:tc>
          <w:tcPr>
            <w:tcW w:w="0" w:type="auto"/>
            <w:vAlign w:val="center"/>
          </w:tcPr>
          <w:p w14:paraId="66ABE627">
            <w:pPr>
              <w:spacing w:after="0" w:line="240" w:lineRule="auto"/>
              <w:jc w:val="center"/>
              <w:rPr>
                <w:rFonts w:eastAsia="Times New Roman" w:cs="Times New Roman"/>
                <w:color w:val="1F1F1F"/>
                <w:szCs w:val="24"/>
              </w:rPr>
            </w:pPr>
            <w:r>
              <w:rPr>
                <w:rFonts w:eastAsia="Times New Roman" w:cs="Times New Roman"/>
                <w:b/>
                <w:bCs/>
                <w:color w:val="1F1F1F"/>
                <w:szCs w:val="24"/>
              </w:rPr>
              <w:t>Fitur / Komponen</w:t>
            </w:r>
          </w:p>
        </w:tc>
        <w:tc>
          <w:tcPr>
            <w:tcW w:w="0" w:type="auto"/>
            <w:vAlign w:val="center"/>
          </w:tcPr>
          <w:p w14:paraId="6BA9428D">
            <w:pPr>
              <w:spacing w:after="0" w:line="240" w:lineRule="auto"/>
              <w:jc w:val="center"/>
              <w:rPr>
                <w:rFonts w:eastAsia="Times New Roman" w:cs="Times New Roman"/>
                <w:color w:val="1F1F1F"/>
                <w:szCs w:val="24"/>
              </w:rPr>
            </w:pPr>
            <w:r>
              <w:rPr>
                <w:rFonts w:eastAsia="Times New Roman" w:cs="Times New Roman"/>
                <w:b/>
                <w:bCs/>
                <w:color w:val="1F1F1F"/>
                <w:szCs w:val="24"/>
              </w:rPr>
              <w:t>FPA (Standard)</w:t>
            </w:r>
          </w:p>
        </w:tc>
        <w:tc>
          <w:tcPr>
            <w:tcW w:w="0" w:type="auto"/>
            <w:vAlign w:val="center"/>
          </w:tcPr>
          <w:p w14:paraId="576B1A00">
            <w:pPr>
              <w:spacing w:after="0" w:line="240" w:lineRule="auto"/>
              <w:jc w:val="center"/>
              <w:rPr>
                <w:rFonts w:eastAsia="Times New Roman" w:cs="Times New Roman"/>
                <w:color w:val="1F1F1F"/>
                <w:szCs w:val="24"/>
              </w:rPr>
            </w:pPr>
            <w:r>
              <w:rPr>
                <w:rFonts w:eastAsia="Times New Roman" w:cs="Times New Roman"/>
                <w:b/>
                <w:bCs/>
                <w:color w:val="1F1F1F"/>
                <w:szCs w:val="24"/>
              </w:rPr>
              <w:t>IFPOA-X (</w:t>
            </w:r>
            <w:r>
              <w:rPr>
                <w:rFonts w:eastAsia="Times New Roman" w:cs="Times New Roman"/>
                <w:b/>
                <w:bCs/>
                <w:i/>
                <w:color w:val="1F1F1F"/>
                <w:szCs w:val="24"/>
              </w:rPr>
              <w:t>Proposed</w:t>
            </w:r>
            <w:r>
              <w:rPr>
                <w:rFonts w:eastAsia="Times New Roman" w:cs="Times New Roman"/>
                <w:b/>
                <w:bCs/>
                <w:color w:val="1F1F1F"/>
                <w:szCs w:val="24"/>
              </w:rPr>
              <w:t>)</w:t>
            </w:r>
          </w:p>
        </w:tc>
      </w:tr>
      <w:tr w14:paraId="22EE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0" w:type="auto"/>
            <w:vAlign w:val="center"/>
          </w:tcPr>
          <w:p w14:paraId="7445B288">
            <w:pPr>
              <w:spacing w:after="0" w:line="240" w:lineRule="auto"/>
              <w:jc w:val="center"/>
              <w:rPr>
                <w:rFonts w:eastAsia="Times New Roman" w:cs="Times New Roman"/>
                <w:color w:val="1F1F1F"/>
                <w:szCs w:val="24"/>
                <w:lang w:val="en-US"/>
              </w:rPr>
            </w:pPr>
            <w:r>
              <w:rPr>
                <w:rFonts w:eastAsia="Times New Roman" w:cs="Times New Roman"/>
                <w:color w:val="1F1F1F"/>
                <w:szCs w:val="24"/>
              </w:rPr>
              <w:t>1</w:t>
            </w:r>
            <w:r>
              <w:rPr>
                <w:rFonts w:eastAsia="Times New Roman" w:cs="Times New Roman"/>
                <w:color w:val="1F1F1F"/>
                <w:szCs w:val="24"/>
                <w:lang w:val="en-US"/>
              </w:rPr>
              <w:t>.</w:t>
            </w:r>
          </w:p>
        </w:tc>
        <w:tc>
          <w:tcPr>
            <w:tcW w:w="0" w:type="auto"/>
            <w:vAlign w:val="center"/>
          </w:tcPr>
          <w:p w14:paraId="30DEF8E1">
            <w:pPr>
              <w:spacing w:after="0" w:line="240" w:lineRule="auto"/>
              <w:jc w:val="center"/>
              <w:rPr>
                <w:rFonts w:eastAsia="Times New Roman" w:cs="Times New Roman"/>
                <w:color w:val="1F1F1F"/>
                <w:szCs w:val="24"/>
              </w:rPr>
            </w:pPr>
            <w:r>
              <w:rPr>
                <w:rFonts w:eastAsia="Times New Roman" w:cs="Times New Roman"/>
                <w:bCs/>
                <w:color w:val="1F1F1F"/>
                <w:szCs w:val="24"/>
              </w:rPr>
              <w:t>Mekanisme seleksi pemilihan</w:t>
            </w:r>
            <w:r>
              <w:rPr>
                <w:rFonts w:eastAsia="Times New Roman" w:cs="Times New Roman"/>
                <w:bCs/>
                <w:color w:val="1F1F1F"/>
                <w:szCs w:val="24"/>
                <w:lang w:val="en-US"/>
              </w:rPr>
              <w:t xml:space="preserve"> o</w:t>
            </w:r>
            <w:r>
              <w:rPr>
                <w:rFonts w:eastAsia="Times New Roman" w:cs="Times New Roman"/>
                <w:bCs/>
                <w:color w:val="1F1F1F"/>
                <w:szCs w:val="24"/>
              </w:rPr>
              <w:t>perator</w:t>
            </w:r>
          </w:p>
        </w:tc>
        <w:tc>
          <w:tcPr>
            <w:tcW w:w="0" w:type="auto"/>
            <w:vAlign w:val="center"/>
          </w:tcPr>
          <w:p w14:paraId="74FE91BF">
            <w:pPr>
              <w:spacing w:after="0" w:line="240" w:lineRule="auto"/>
              <w:jc w:val="center"/>
              <w:rPr>
                <w:rFonts w:eastAsia="Times New Roman" w:cs="Times New Roman"/>
                <w:color w:val="1F1F1F"/>
                <w:szCs w:val="24"/>
              </w:rPr>
            </w:pPr>
            <w:r>
              <w:rPr>
                <w:rFonts w:eastAsia="Times New Roman" w:cs="Times New Roman"/>
                <w:color w:val="1F1F1F"/>
                <w:szCs w:val="24"/>
              </w:rPr>
              <w:t xml:space="preserve">Probabilitas tetap (statis, misal </w:t>
            </w:r>
            <w:r>
              <w:rPr>
                <w:rFonts w:eastAsia="Times New Roman" w:cs="Times New Roman"/>
                <w:i/>
                <w:color w:val="1F1F1F"/>
                <w:szCs w:val="24"/>
              </w:rPr>
              <w:t>p</w:t>
            </w:r>
            <w:r>
              <w:rPr>
                <w:rFonts w:eastAsia="Times New Roman" w:cs="Times New Roman"/>
                <w:color w:val="1F1F1F"/>
                <w:szCs w:val="24"/>
              </w:rPr>
              <w:t>=0.8) antara global-lokal.</w:t>
            </w:r>
          </w:p>
        </w:tc>
        <w:tc>
          <w:tcPr>
            <w:tcW w:w="0" w:type="auto"/>
            <w:vAlign w:val="center"/>
          </w:tcPr>
          <w:p w14:paraId="652A4D90">
            <w:pPr>
              <w:spacing w:after="0" w:line="240" w:lineRule="auto"/>
              <w:jc w:val="center"/>
              <w:rPr>
                <w:rFonts w:eastAsia="Times New Roman" w:cs="Times New Roman"/>
                <w:color w:val="1F1F1F"/>
                <w:szCs w:val="24"/>
                <w:lang w:val="en-US"/>
              </w:rPr>
            </w:pPr>
            <w:r>
              <w:rPr>
                <w:rFonts w:eastAsia="Times New Roman" w:cs="Times New Roman"/>
                <w:bCs/>
                <w:color w:val="1F1F1F"/>
                <w:szCs w:val="24"/>
              </w:rPr>
              <w:t>Adaptif</w:t>
            </w:r>
            <w:r>
              <w:rPr>
                <w:rFonts w:eastAsia="Times New Roman" w:cs="Times New Roman"/>
                <w:color w:val="1F1F1F"/>
                <w:szCs w:val="24"/>
              </w:rPr>
              <w:t xml:space="preserve"> menggunakan algoritma </w:t>
            </w:r>
            <w:r>
              <w:rPr>
                <w:rFonts w:eastAsia="Times New Roman" w:cs="Times New Roman"/>
                <w:bCs/>
                <w:color w:val="1F1F1F"/>
                <w:szCs w:val="24"/>
              </w:rPr>
              <w:t>UCB1</w:t>
            </w:r>
            <w:r>
              <w:rPr>
                <w:rFonts w:eastAsia="Times New Roman" w:cs="Times New Roman"/>
                <w:bCs/>
                <w:color w:val="1F1F1F"/>
                <w:szCs w:val="24"/>
                <w:lang w:val="en-US"/>
              </w:rPr>
              <w:t>.</w:t>
            </w:r>
          </w:p>
        </w:tc>
      </w:tr>
      <w:tr w14:paraId="49A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14:paraId="2FD28B03">
            <w:pPr>
              <w:spacing w:after="0" w:line="240" w:lineRule="auto"/>
              <w:jc w:val="center"/>
              <w:rPr>
                <w:rFonts w:eastAsia="Times New Roman" w:cs="Times New Roman"/>
                <w:color w:val="1F1F1F"/>
                <w:szCs w:val="24"/>
                <w:lang w:val="en-US"/>
              </w:rPr>
            </w:pPr>
            <w:r>
              <w:rPr>
                <w:rFonts w:eastAsia="Times New Roman" w:cs="Times New Roman"/>
                <w:color w:val="1F1F1F"/>
                <w:szCs w:val="24"/>
              </w:rPr>
              <w:t>2</w:t>
            </w:r>
            <w:r>
              <w:rPr>
                <w:rFonts w:eastAsia="Times New Roman" w:cs="Times New Roman"/>
                <w:color w:val="1F1F1F"/>
                <w:szCs w:val="24"/>
                <w:lang w:val="en-US"/>
              </w:rPr>
              <w:t>.</w:t>
            </w:r>
          </w:p>
        </w:tc>
        <w:tc>
          <w:tcPr>
            <w:tcW w:w="0" w:type="auto"/>
            <w:vAlign w:val="center"/>
          </w:tcPr>
          <w:p w14:paraId="3B2BC530">
            <w:pPr>
              <w:spacing w:after="0" w:line="240" w:lineRule="auto"/>
              <w:jc w:val="center"/>
              <w:rPr>
                <w:rFonts w:eastAsia="Times New Roman" w:cs="Times New Roman"/>
                <w:color w:val="1F1F1F"/>
                <w:szCs w:val="24"/>
              </w:rPr>
            </w:pPr>
            <w:r>
              <w:rPr>
                <w:rFonts w:eastAsia="Times New Roman" w:cs="Times New Roman"/>
                <w:bCs/>
                <w:color w:val="1F1F1F"/>
                <w:szCs w:val="24"/>
              </w:rPr>
              <w:t>Parameter</w:t>
            </w:r>
            <w:r>
              <w:rPr>
                <w:rFonts w:eastAsia="Times New Roman" w:cs="Times New Roman"/>
                <w:bCs/>
                <w:i/>
                <w:color w:val="1F1F1F"/>
                <w:szCs w:val="24"/>
              </w:rPr>
              <w:t xml:space="preserve"> Lévy Flight</w:t>
            </w:r>
            <w:r>
              <w:rPr>
                <w:rFonts w:eastAsia="Times New Roman" w:cs="Times New Roman"/>
                <w:bCs/>
                <w:color w:val="1F1F1F"/>
                <w:szCs w:val="24"/>
              </w:rPr>
              <w:t xml:space="preserve"> </w:t>
            </w:r>
          </w:p>
        </w:tc>
        <w:tc>
          <w:tcPr>
            <w:tcW w:w="0" w:type="auto"/>
            <w:vAlign w:val="center"/>
          </w:tcPr>
          <w:p w14:paraId="193886C6">
            <w:pPr>
              <w:spacing w:after="0" w:line="240" w:lineRule="auto"/>
              <w:jc w:val="center"/>
              <w:rPr>
                <w:rFonts w:eastAsia="Times New Roman" w:cs="Times New Roman"/>
                <w:color w:val="1F1F1F"/>
                <w:szCs w:val="24"/>
              </w:rPr>
            </w:pPr>
            <w:r>
              <w:rPr>
                <w:rFonts w:eastAsia="Times New Roman" w:cs="Times New Roman"/>
                <w:color w:val="1F1F1F"/>
                <w:szCs w:val="24"/>
              </w:rPr>
              <w:t>Nilai konstan (tidak berubah sepanjang iterasi).</w:t>
            </w:r>
          </w:p>
        </w:tc>
        <w:tc>
          <w:tcPr>
            <w:tcW w:w="0" w:type="auto"/>
            <w:vAlign w:val="center"/>
          </w:tcPr>
          <w:p w14:paraId="28972695">
            <w:pPr>
              <w:spacing w:after="0" w:line="240" w:lineRule="auto"/>
              <w:jc w:val="center"/>
              <w:rPr>
                <w:rFonts w:eastAsia="Times New Roman" w:cs="Times New Roman"/>
                <w:color w:val="1F1F1F"/>
                <w:szCs w:val="24"/>
              </w:rPr>
            </w:pPr>
            <w:r>
              <w:rPr>
                <w:rFonts w:eastAsia="Times New Roman" w:cs="Times New Roman"/>
                <w:bCs/>
                <w:color w:val="1F1F1F"/>
                <w:szCs w:val="24"/>
              </w:rPr>
              <w:t>Dinamis</w:t>
            </w:r>
            <w:r>
              <w:rPr>
                <w:rFonts w:eastAsia="Times New Roman" w:cs="Times New Roman"/>
                <w:color w:val="1F1F1F"/>
                <w:szCs w:val="24"/>
              </w:rPr>
              <w:t>, menyesuaikan nilai secara otomatis selama proses optimasi berlangsung.</w:t>
            </w:r>
          </w:p>
        </w:tc>
      </w:tr>
      <w:tr w14:paraId="3FBC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14:paraId="7E56D6CA">
            <w:pPr>
              <w:spacing w:after="0" w:line="240" w:lineRule="auto"/>
              <w:jc w:val="center"/>
              <w:rPr>
                <w:rFonts w:eastAsia="Times New Roman" w:cs="Times New Roman"/>
                <w:color w:val="1F1F1F"/>
                <w:szCs w:val="24"/>
                <w:lang w:val="en-US"/>
              </w:rPr>
            </w:pPr>
            <w:r>
              <w:rPr>
                <w:rFonts w:eastAsia="Times New Roman" w:cs="Times New Roman"/>
                <w:color w:val="1F1F1F"/>
                <w:szCs w:val="24"/>
              </w:rPr>
              <w:t>3</w:t>
            </w:r>
            <w:r>
              <w:rPr>
                <w:rFonts w:eastAsia="Times New Roman" w:cs="Times New Roman"/>
                <w:color w:val="1F1F1F"/>
                <w:szCs w:val="24"/>
                <w:lang w:val="en-US"/>
              </w:rPr>
              <w:t>.</w:t>
            </w:r>
          </w:p>
        </w:tc>
        <w:tc>
          <w:tcPr>
            <w:tcW w:w="0" w:type="auto"/>
            <w:vAlign w:val="center"/>
          </w:tcPr>
          <w:p w14:paraId="647B02C2">
            <w:pPr>
              <w:spacing w:after="0" w:line="240" w:lineRule="auto"/>
              <w:jc w:val="center"/>
              <w:rPr>
                <w:rFonts w:eastAsia="Times New Roman" w:cs="Times New Roman"/>
                <w:color w:val="1F1F1F"/>
                <w:szCs w:val="24"/>
              </w:rPr>
            </w:pPr>
            <w:r>
              <w:rPr>
                <w:rFonts w:eastAsia="Times New Roman" w:cs="Times New Roman"/>
                <w:bCs/>
                <w:color w:val="1F1F1F"/>
                <w:szCs w:val="24"/>
              </w:rPr>
              <w:t>Strategi Eksplorasi Global</w:t>
            </w:r>
          </w:p>
        </w:tc>
        <w:tc>
          <w:tcPr>
            <w:tcW w:w="0" w:type="auto"/>
            <w:vAlign w:val="center"/>
          </w:tcPr>
          <w:p w14:paraId="5E25C496">
            <w:pPr>
              <w:spacing w:after="0" w:line="240" w:lineRule="auto"/>
              <w:jc w:val="center"/>
              <w:rPr>
                <w:rFonts w:eastAsia="Times New Roman" w:cs="Times New Roman"/>
                <w:color w:val="1F1F1F"/>
                <w:szCs w:val="24"/>
              </w:rPr>
            </w:pPr>
            <w:r>
              <w:rPr>
                <w:rFonts w:eastAsia="Times New Roman" w:cs="Times New Roman"/>
                <w:i/>
                <w:iCs/>
                <w:color w:val="1F1F1F"/>
                <w:szCs w:val="24"/>
              </w:rPr>
              <w:t>Lévy Flight</w:t>
            </w:r>
            <w:r>
              <w:rPr>
                <w:rFonts w:eastAsia="Times New Roman" w:cs="Times New Roman"/>
                <w:color w:val="1F1F1F"/>
                <w:szCs w:val="24"/>
              </w:rPr>
              <w:t xml:space="preserve"> menuju solusi terbaik global dengan skala langkah tetap.</w:t>
            </w:r>
          </w:p>
        </w:tc>
        <w:tc>
          <w:tcPr>
            <w:tcW w:w="0" w:type="auto"/>
            <w:vAlign w:val="center"/>
          </w:tcPr>
          <w:p w14:paraId="69F38ED9">
            <w:pPr>
              <w:spacing w:after="0" w:line="240" w:lineRule="auto"/>
              <w:jc w:val="center"/>
              <w:rPr>
                <w:rFonts w:eastAsia="Times New Roman" w:cs="Times New Roman"/>
                <w:color w:val="1F1F1F"/>
                <w:szCs w:val="24"/>
              </w:rPr>
            </w:pPr>
            <w:r>
              <w:rPr>
                <w:rFonts w:eastAsia="Times New Roman" w:cs="Times New Roman"/>
                <w:i/>
                <w:iCs/>
                <w:color w:val="1F1F1F"/>
                <w:szCs w:val="24"/>
              </w:rPr>
              <w:t>Lévy Flight</w:t>
            </w:r>
            <w:r>
              <w:rPr>
                <w:rFonts w:eastAsia="Times New Roman" w:cs="Times New Roman"/>
                <w:i/>
                <w:iCs/>
                <w:color w:val="1F1F1F"/>
                <w:szCs w:val="24"/>
                <w:lang w:val="en-US"/>
              </w:rPr>
              <w:t xml:space="preserve"> + </w:t>
            </w:r>
            <w:r>
              <w:rPr>
                <w:rFonts w:eastAsia="Times New Roman" w:cs="Times New Roman"/>
                <w:iCs/>
                <w:color w:val="1F1F1F"/>
                <w:szCs w:val="24"/>
                <w:lang w:val="en-US"/>
              </w:rPr>
              <w:t xml:space="preserve">OBL </w:t>
            </w:r>
            <w:r>
              <w:rPr>
                <w:rFonts w:eastAsia="Times New Roman" w:cs="Times New Roman"/>
                <w:color w:val="1F1F1F"/>
                <w:szCs w:val="24"/>
              </w:rPr>
              <w:t xml:space="preserve">dengan </w:t>
            </w:r>
            <w:r>
              <w:rPr>
                <w:rFonts w:eastAsia="Times New Roman" w:cs="Times New Roman"/>
                <w:bCs/>
                <w:color w:val="1F1F1F"/>
                <w:szCs w:val="24"/>
              </w:rPr>
              <w:t>skala langkah adaptif</w:t>
            </w:r>
            <w:r>
              <w:rPr>
                <w:rFonts w:eastAsia="Times New Roman" w:cs="Times New Roman"/>
                <w:color w:val="1F1F1F"/>
                <w:szCs w:val="24"/>
              </w:rPr>
              <w:t xml:space="preserve"> yang menyesuaikan diri terhadap konvergensi.</w:t>
            </w:r>
          </w:p>
        </w:tc>
      </w:tr>
      <w:tr w14:paraId="4796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14:paraId="2C0A551A">
            <w:pPr>
              <w:spacing w:after="0" w:line="240" w:lineRule="auto"/>
              <w:jc w:val="center"/>
              <w:rPr>
                <w:rFonts w:eastAsia="Times New Roman" w:cs="Times New Roman"/>
                <w:color w:val="1F1F1F"/>
                <w:szCs w:val="24"/>
                <w:lang w:val="en-US"/>
              </w:rPr>
            </w:pPr>
            <w:r>
              <w:rPr>
                <w:rFonts w:eastAsia="Times New Roman" w:cs="Times New Roman"/>
                <w:color w:val="1F1F1F"/>
                <w:szCs w:val="24"/>
              </w:rPr>
              <w:t>4</w:t>
            </w:r>
            <w:r>
              <w:rPr>
                <w:rFonts w:eastAsia="Times New Roman" w:cs="Times New Roman"/>
                <w:color w:val="1F1F1F"/>
                <w:szCs w:val="24"/>
                <w:lang w:val="en-US"/>
              </w:rPr>
              <w:t>.</w:t>
            </w:r>
          </w:p>
        </w:tc>
        <w:tc>
          <w:tcPr>
            <w:tcW w:w="0" w:type="auto"/>
            <w:vAlign w:val="center"/>
          </w:tcPr>
          <w:p w14:paraId="236F8EE7">
            <w:pPr>
              <w:spacing w:after="0" w:line="240" w:lineRule="auto"/>
              <w:jc w:val="center"/>
              <w:rPr>
                <w:rFonts w:eastAsia="Times New Roman" w:cs="Times New Roman"/>
                <w:color w:val="1F1F1F"/>
                <w:szCs w:val="24"/>
              </w:rPr>
            </w:pPr>
            <w:r>
              <w:rPr>
                <w:rFonts w:eastAsia="Times New Roman" w:cs="Times New Roman"/>
                <w:bCs/>
                <w:color w:val="1F1F1F"/>
                <w:szCs w:val="24"/>
              </w:rPr>
              <w:t>Strategi Eksploitasi Lokal</w:t>
            </w:r>
          </w:p>
        </w:tc>
        <w:tc>
          <w:tcPr>
            <w:tcW w:w="0" w:type="auto"/>
            <w:vAlign w:val="center"/>
          </w:tcPr>
          <w:p w14:paraId="09CA0033">
            <w:pPr>
              <w:spacing w:after="0" w:line="240" w:lineRule="auto"/>
              <w:jc w:val="center"/>
              <w:rPr>
                <w:rFonts w:eastAsia="Times New Roman" w:cs="Times New Roman"/>
                <w:color w:val="1F1F1F"/>
                <w:szCs w:val="24"/>
              </w:rPr>
            </w:pPr>
            <w:r>
              <w:rPr>
                <w:rFonts w:eastAsia="Times New Roman" w:cs="Times New Roman"/>
                <w:color w:val="1F1F1F"/>
                <w:szCs w:val="24"/>
              </w:rPr>
              <w:t>Interaksi dua solusi acak dengan koefisien uniform.</w:t>
            </w:r>
          </w:p>
        </w:tc>
        <w:tc>
          <w:tcPr>
            <w:tcW w:w="0" w:type="auto"/>
            <w:vAlign w:val="center"/>
          </w:tcPr>
          <w:p w14:paraId="2576548F">
            <w:pPr>
              <w:spacing w:after="0" w:line="240" w:lineRule="auto"/>
              <w:jc w:val="center"/>
              <w:rPr>
                <w:rFonts w:eastAsia="Times New Roman" w:cs="Times New Roman"/>
                <w:color w:val="1F1F1F"/>
                <w:szCs w:val="24"/>
                <w:lang w:val="en-US"/>
              </w:rPr>
            </w:pPr>
            <w:r>
              <w:rPr>
                <w:rFonts w:eastAsia="Times New Roman" w:cs="Times New Roman"/>
                <w:color w:val="1F1F1F"/>
                <w:szCs w:val="24"/>
              </w:rPr>
              <w:t xml:space="preserve">Menggunakan strategi </w:t>
            </w:r>
            <w:r>
              <w:rPr>
                <w:rFonts w:eastAsia="Times New Roman" w:cs="Times New Roman"/>
                <w:bCs/>
                <w:color w:val="1F1F1F"/>
                <w:szCs w:val="24"/>
              </w:rPr>
              <w:t>JADE</w:t>
            </w:r>
            <w:r>
              <w:rPr>
                <w:rFonts w:eastAsia="Times New Roman" w:cs="Times New Roman"/>
                <w:color w:val="1F1F1F"/>
                <w:szCs w:val="24"/>
                <w:lang w:val="en-US"/>
              </w:rPr>
              <w:t>.</w:t>
            </w:r>
          </w:p>
        </w:tc>
      </w:tr>
      <w:tr w14:paraId="3F39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14:paraId="7BD05BAF">
            <w:pPr>
              <w:spacing w:after="0" w:line="240" w:lineRule="auto"/>
              <w:jc w:val="center"/>
              <w:rPr>
                <w:rFonts w:eastAsia="Times New Roman" w:cs="Times New Roman"/>
                <w:color w:val="1F1F1F"/>
                <w:szCs w:val="24"/>
                <w:lang w:val="en-US"/>
              </w:rPr>
            </w:pPr>
            <w:r>
              <w:rPr>
                <w:rFonts w:eastAsia="Times New Roman" w:cs="Times New Roman"/>
                <w:color w:val="1F1F1F"/>
                <w:szCs w:val="24"/>
              </w:rPr>
              <w:t>5</w:t>
            </w:r>
            <w:r>
              <w:rPr>
                <w:rFonts w:eastAsia="Times New Roman" w:cs="Times New Roman"/>
                <w:color w:val="1F1F1F"/>
                <w:szCs w:val="24"/>
                <w:lang w:val="en-US"/>
              </w:rPr>
              <w:t>.</w:t>
            </w:r>
          </w:p>
        </w:tc>
        <w:tc>
          <w:tcPr>
            <w:tcW w:w="0" w:type="auto"/>
            <w:vAlign w:val="center"/>
          </w:tcPr>
          <w:p w14:paraId="035A524C">
            <w:pPr>
              <w:spacing w:after="0" w:line="240" w:lineRule="auto"/>
              <w:jc w:val="center"/>
              <w:rPr>
                <w:rFonts w:eastAsia="Times New Roman" w:cs="Times New Roman"/>
                <w:color w:val="1F1F1F"/>
                <w:szCs w:val="24"/>
              </w:rPr>
            </w:pPr>
            <w:r>
              <w:rPr>
                <w:rFonts w:eastAsia="Times New Roman" w:cs="Times New Roman"/>
                <w:bCs/>
                <w:color w:val="1F1F1F"/>
                <w:szCs w:val="24"/>
              </w:rPr>
              <w:t>Fungsi Objektif</w:t>
            </w:r>
          </w:p>
        </w:tc>
        <w:tc>
          <w:tcPr>
            <w:tcW w:w="0" w:type="auto"/>
            <w:vAlign w:val="center"/>
          </w:tcPr>
          <w:p w14:paraId="3B13DBB1">
            <w:pPr>
              <w:spacing w:after="0" w:line="240" w:lineRule="auto"/>
              <w:jc w:val="center"/>
              <w:rPr>
                <w:rFonts w:eastAsia="Times New Roman" w:cs="Times New Roman"/>
                <w:color w:val="1F1F1F"/>
                <w:szCs w:val="24"/>
              </w:rPr>
            </w:pPr>
            <w:r>
              <w:rPr>
                <w:rFonts w:eastAsia="Times New Roman" w:cs="Times New Roman"/>
                <w:color w:val="1F1F1F"/>
                <w:szCs w:val="24"/>
              </w:rPr>
              <w:t>Satu tujuan (</w:t>
            </w:r>
            <w:r>
              <w:rPr>
                <w:rFonts w:eastAsia="Times New Roman" w:cs="Times New Roman"/>
                <w:i/>
                <w:iCs/>
                <w:color w:val="1F1F1F"/>
                <w:szCs w:val="24"/>
              </w:rPr>
              <w:t>Single-objective</w:t>
            </w:r>
            <w:r>
              <w:rPr>
                <w:rFonts w:eastAsia="Times New Roman" w:cs="Times New Roman"/>
                <w:color w:val="1F1F1F"/>
                <w:szCs w:val="24"/>
              </w:rPr>
              <w:t>).</w:t>
            </w:r>
          </w:p>
        </w:tc>
        <w:tc>
          <w:tcPr>
            <w:tcW w:w="0" w:type="auto"/>
            <w:vAlign w:val="center"/>
          </w:tcPr>
          <w:p w14:paraId="03DFE3FB">
            <w:pPr>
              <w:spacing w:after="0" w:line="240" w:lineRule="auto"/>
              <w:jc w:val="center"/>
              <w:rPr>
                <w:rFonts w:eastAsia="Times New Roman" w:cs="Times New Roman"/>
                <w:color w:val="1F1F1F"/>
                <w:szCs w:val="24"/>
              </w:rPr>
            </w:pPr>
            <w:r>
              <w:rPr>
                <w:rFonts w:eastAsia="Times New Roman" w:cs="Times New Roman"/>
                <w:bCs/>
                <w:color w:val="1F1F1F"/>
                <w:szCs w:val="24"/>
                <w:lang w:val="en-US"/>
              </w:rPr>
              <w:t>3</w:t>
            </w:r>
            <w:r>
              <w:rPr>
                <w:rFonts w:eastAsia="Times New Roman" w:cs="Times New Roman"/>
                <w:bCs/>
                <w:color w:val="1F1F1F"/>
                <w:szCs w:val="24"/>
              </w:rPr>
              <w:t xml:space="preserve"> tujuan (</w:t>
            </w:r>
            <w:r>
              <w:rPr>
                <w:rFonts w:eastAsia="Times New Roman" w:cs="Times New Roman"/>
                <w:bCs/>
                <w:i/>
                <w:iCs/>
                <w:color w:val="1F1F1F"/>
                <w:szCs w:val="24"/>
              </w:rPr>
              <w:t>Multi-objective</w:t>
            </w:r>
            <w:r>
              <w:rPr>
                <w:rFonts w:eastAsia="Times New Roman" w:cs="Times New Roman"/>
                <w:bCs/>
                <w:color w:val="1F1F1F"/>
                <w:szCs w:val="24"/>
              </w:rPr>
              <w:t>):</w:t>
            </w:r>
            <w:r>
              <w:rPr>
                <w:rFonts w:eastAsia="Times New Roman" w:cs="Times New Roman"/>
                <w:color w:val="1F1F1F"/>
                <w:szCs w:val="24"/>
              </w:rPr>
              <w:t xml:space="preserve"> Akurasi model</w:t>
            </w:r>
            <w:r>
              <w:rPr>
                <w:rFonts w:eastAsia="Times New Roman" w:cs="Times New Roman"/>
                <w:color w:val="1F1F1F"/>
                <w:szCs w:val="24"/>
                <w:lang w:val="en-US"/>
              </w:rPr>
              <w:t>, efisiensi, dan</w:t>
            </w:r>
            <w:r>
              <w:rPr>
                <w:rFonts w:eastAsia="Times New Roman" w:cs="Times New Roman"/>
                <w:color w:val="1F1F1F"/>
                <w:szCs w:val="24"/>
              </w:rPr>
              <w:t xml:space="preserve"> Ketahanan (</w:t>
            </w:r>
            <w:r>
              <w:rPr>
                <w:rFonts w:eastAsia="Times New Roman" w:cs="Times New Roman"/>
                <w:i/>
                <w:iCs/>
                <w:color w:val="1F1F1F"/>
                <w:szCs w:val="24"/>
              </w:rPr>
              <w:t>Robustness</w:t>
            </w:r>
            <w:r>
              <w:rPr>
                <w:rFonts w:eastAsia="Times New Roman" w:cs="Times New Roman"/>
                <w:color w:val="1F1F1F"/>
                <w:szCs w:val="24"/>
              </w:rPr>
              <w:t>).</w:t>
            </w:r>
          </w:p>
        </w:tc>
      </w:tr>
      <w:tr w14:paraId="499E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0" w:type="auto"/>
            <w:vAlign w:val="center"/>
          </w:tcPr>
          <w:p w14:paraId="2515426F">
            <w:pPr>
              <w:spacing w:after="0" w:line="240" w:lineRule="auto"/>
              <w:jc w:val="center"/>
              <w:rPr>
                <w:rFonts w:eastAsia="Times New Roman" w:cs="Times New Roman"/>
                <w:color w:val="1F1F1F"/>
                <w:szCs w:val="24"/>
                <w:lang w:val="en-US"/>
              </w:rPr>
            </w:pPr>
            <w:r>
              <w:rPr>
                <w:rFonts w:eastAsia="Times New Roman" w:cs="Times New Roman"/>
                <w:color w:val="1F1F1F"/>
                <w:szCs w:val="24"/>
                <w:lang w:val="en-US"/>
              </w:rPr>
              <w:t>6.</w:t>
            </w:r>
          </w:p>
        </w:tc>
        <w:tc>
          <w:tcPr>
            <w:tcW w:w="0" w:type="auto"/>
            <w:vAlign w:val="center"/>
          </w:tcPr>
          <w:p w14:paraId="3BA25917">
            <w:pPr>
              <w:spacing w:after="0" w:line="240" w:lineRule="auto"/>
              <w:jc w:val="center"/>
              <w:rPr>
                <w:rFonts w:eastAsia="Times New Roman" w:cs="Times New Roman"/>
                <w:color w:val="1F1F1F"/>
                <w:szCs w:val="24"/>
              </w:rPr>
            </w:pPr>
            <w:r>
              <w:rPr>
                <w:rFonts w:eastAsia="Times New Roman" w:cs="Times New Roman"/>
                <w:bCs/>
                <w:color w:val="1F1F1F"/>
                <w:szCs w:val="24"/>
              </w:rPr>
              <w:t>Metrik Evaluasi Optimasi</w:t>
            </w:r>
          </w:p>
        </w:tc>
        <w:tc>
          <w:tcPr>
            <w:tcW w:w="0" w:type="auto"/>
            <w:vAlign w:val="center"/>
          </w:tcPr>
          <w:p w14:paraId="5E40AD1B">
            <w:pPr>
              <w:spacing w:after="0" w:line="240" w:lineRule="auto"/>
              <w:jc w:val="center"/>
              <w:rPr>
                <w:rFonts w:eastAsia="Times New Roman" w:cs="Times New Roman"/>
                <w:color w:val="1F1F1F"/>
                <w:szCs w:val="24"/>
              </w:rPr>
            </w:pPr>
            <w:r>
              <w:rPr>
                <w:rFonts w:eastAsia="Times New Roman" w:cs="Times New Roman"/>
                <w:color w:val="1F1F1F"/>
                <w:szCs w:val="24"/>
              </w:rPr>
              <w:t xml:space="preserve">Nilai </w:t>
            </w:r>
            <w:r>
              <w:rPr>
                <w:rFonts w:eastAsia="Times New Roman" w:cs="Times New Roman"/>
                <w:i/>
                <w:iCs/>
                <w:color w:val="1F1F1F"/>
                <w:szCs w:val="24"/>
              </w:rPr>
              <w:t>Loss/Fitness</w:t>
            </w:r>
            <w:r>
              <w:rPr>
                <w:rFonts w:eastAsia="Times New Roman" w:cs="Times New Roman"/>
                <w:color w:val="1F1F1F"/>
                <w:szCs w:val="24"/>
              </w:rPr>
              <w:t xml:space="preserve"> standar.</w:t>
            </w:r>
          </w:p>
        </w:tc>
        <w:tc>
          <w:tcPr>
            <w:tcW w:w="0" w:type="auto"/>
            <w:vAlign w:val="center"/>
          </w:tcPr>
          <w:p w14:paraId="723DD845">
            <w:pPr>
              <w:spacing w:after="0" w:line="240" w:lineRule="auto"/>
              <w:jc w:val="center"/>
              <w:rPr>
                <w:rFonts w:eastAsia="Times New Roman" w:cs="Times New Roman"/>
                <w:color w:val="1F1F1F"/>
                <w:szCs w:val="24"/>
              </w:rPr>
            </w:pPr>
            <w:r>
              <w:rPr>
                <w:rFonts w:eastAsia="Times New Roman" w:cs="Times New Roman"/>
                <w:bCs/>
                <w:i/>
                <w:color w:val="1F1F1F"/>
                <w:szCs w:val="24"/>
              </w:rPr>
              <w:t>Multi-objective</w:t>
            </w:r>
            <w:r>
              <w:rPr>
                <w:rFonts w:eastAsia="Times New Roman" w:cs="Times New Roman"/>
                <w:bCs/>
                <w:color w:val="1F1F1F"/>
                <w:szCs w:val="24"/>
              </w:rPr>
              <w:t xml:space="preserve">: S_robust (ketahanan), RMSE (akurasi), </w:t>
            </w:r>
            <w:r>
              <w:rPr>
                <w:rFonts w:eastAsia="Times New Roman" w:cs="Times New Roman"/>
                <w:bCs/>
                <w:color w:val="1F1F1F"/>
                <w:szCs w:val="24"/>
                <w:lang w:val="en-US"/>
              </w:rPr>
              <w:t>dan</w:t>
            </w:r>
            <w:r>
              <w:rPr>
                <w:rFonts w:eastAsia="Times New Roman" w:cs="Times New Roman"/>
                <w:bCs/>
                <w:color w:val="1F1F1F"/>
                <w:szCs w:val="24"/>
              </w:rPr>
              <w:t xml:space="preserve"> FLOPs (efisiensi)</w:t>
            </w:r>
            <w:r>
              <w:rPr>
                <w:rFonts w:eastAsia="Times New Roman" w:cs="Times New Roman"/>
                <w:bCs/>
                <w:color w:val="1F1F1F"/>
                <w:szCs w:val="24"/>
                <w:lang w:val="en-US"/>
              </w:rPr>
              <w:t xml:space="preserve"> </w:t>
            </w:r>
            <w:r>
              <w:rPr>
                <w:rFonts w:eastAsia="Times New Roman" w:cs="Times New Roman"/>
                <w:bCs/>
                <w:color w:val="1F1F1F"/>
                <w:szCs w:val="24"/>
              </w:rPr>
              <w:t xml:space="preserve">dengan </w:t>
            </w:r>
            <w:r>
              <w:rPr>
                <w:rFonts w:eastAsia="Times New Roman" w:cs="Times New Roman"/>
                <w:bCs/>
                <w:color w:val="1F1F1F"/>
                <w:szCs w:val="24"/>
                <w:lang w:val="en-US"/>
              </w:rPr>
              <w:t xml:space="preserve">penilaian </w:t>
            </w:r>
            <w:r>
              <w:rPr>
                <w:rFonts w:eastAsia="Times New Roman" w:cs="Times New Roman"/>
                <w:bCs/>
                <w:color w:val="1F1F1F"/>
                <w:szCs w:val="24"/>
              </w:rPr>
              <w:t>Pareto archive</w:t>
            </w:r>
          </w:p>
        </w:tc>
      </w:tr>
      <w:tr w14:paraId="1D45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0" w:type="auto"/>
            <w:vAlign w:val="center"/>
          </w:tcPr>
          <w:p w14:paraId="6BFB41D0">
            <w:pPr>
              <w:spacing w:after="0" w:line="240" w:lineRule="auto"/>
              <w:jc w:val="center"/>
              <w:rPr>
                <w:rFonts w:eastAsia="Times New Roman" w:cs="Times New Roman"/>
                <w:color w:val="1F1F1F"/>
                <w:szCs w:val="24"/>
              </w:rPr>
            </w:pPr>
            <w:r>
              <w:rPr>
                <w:rFonts w:eastAsia="Times New Roman" w:cs="Times New Roman"/>
                <w:color w:val="1F1F1F"/>
                <w:szCs w:val="24"/>
              </w:rPr>
              <w:t>7.</w:t>
            </w:r>
          </w:p>
        </w:tc>
        <w:tc>
          <w:tcPr>
            <w:tcW w:w="0" w:type="auto"/>
            <w:vAlign w:val="center"/>
          </w:tcPr>
          <w:p w14:paraId="2118CA31">
            <w:pPr>
              <w:spacing w:after="0" w:line="240" w:lineRule="auto"/>
              <w:jc w:val="center"/>
              <w:rPr>
                <w:rFonts w:eastAsia="Times New Roman" w:cs="Times New Roman"/>
                <w:color w:val="1F1F1F"/>
                <w:szCs w:val="24"/>
              </w:rPr>
            </w:pPr>
            <w:r>
              <w:rPr>
                <w:rFonts w:eastAsia="Times New Roman" w:cs="Times New Roman"/>
                <w:bCs/>
                <w:color w:val="1F1F1F"/>
                <w:szCs w:val="24"/>
              </w:rPr>
              <w:t xml:space="preserve">Efisiensi </w:t>
            </w:r>
          </w:p>
        </w:tc>
        <w:tc>
          <w:tcPr>
            <w:tcW w:w="0" w:type="auto"/>
            <w:vAlign w:val="center"/>
          </w:tcPr>
          <w:p w14:paraId="4F117691">
            <w:pPr>
              <w:spacing w:after="0" w:line="240" w:lineRule="auto"/>
              <w:jc w:val="center"/>
              <w:rPr>
                <w:rFonts w:eastAsia="Times New Roman" w:cs="Times New Roman"/>
                <w:color w:val="1F1F1F"/>
                <w:szCs w:val="24"/>
                <w:lang w:val="en-US"/>
              </w:rPr>
            </w:pPr>
            <w:r>
              <w:rPr>
                <w:rFonts w:eastAsia="Times New Roman" w:cs="Times New Roman"/>
                <w:color w:val="1F1F1F"/>
                <w:szCs w:val="24"/>
                <w:lang w:val="en-US"/>
              </w:rPr>
              <w:t>Tidak tersedia</w:t>
            </w:r>
          </w:p>
        </w:tc>
        <w:tc>
          <w:tcPr>
            <w:tcW w:w="0" w:type="auto"/>
            <w:vAlign w:val="center"/>
          </w:tcPr>
          <w:p w14:paraId="6BFE7E6D">
            <w:pPr>
              <w:spacing w:after="0" w:line="240" w:lineRule="auto"/>
              <w:jc w:val="center"/>
              <w:rPr>
                <w:rFonts w:eastAsia="Times New Roman" w:cs="Times New Roman"/>
                <w:color w:val="1F1F1F"/>
                <w:szCs w:val="24"/>
                <w:lang w:val="en-US"/>
              </w:rPr>
            </w:pPr>
            <w:r>
              <w:rPr>
                <w:rFonts w:eastAsia="Times New Roman" w:cs="Times New Roman"/>
                <w:bCs/>
                <w:color w:val="1F1F1F"/>
                <w:szCs w:val="24"/>
                <w:lang w:val="en-US"/>
              </w:rPr>
              <w:t>ASHA:</w:t>
            </w:r>
            <w:r>
              <w:rPr>
                <w:rFonts w:eastAsia="Times New Roman" w:cs="Times New Roman"/>
                <w:color w:val="1F1F1F"/>
                <w:szCs w:val="24"/>
              </w:rPr>
              <w:t xml:space="preserve"> Eliminasi kandidat solusi yang lemah lebih awal.</w:t>
            </w:r>
          </w:p>
        </w:tc>
      </w:tr>
      <w:tr w14:paraId="1BCF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0" w:type="auto"/>
            <w:vAlign w:val="center"/>
          </w:tcPr>
          <w:p w14:paraId="7D5FAF34">
            <w:pPr>
              <w:spacing w:after="0" w:line="240" w:lineRule="auto"/>
              <w:jc w:val="center"/>
              <w:rPr>
                <w:rFonts w:eastAsia="Times New Roman" w:cs="Times New Roman"/>
                <w:color w:val="1F1F1F"/>
                <w:szCs w:val="24"/>
                <w:lang w:val="en-US"/>
              </w:rPr>
            </w:pPr>
            <w:r>
              <w:rPr>
                <w:rFonts w:eastAsia="Times New Roman" w:cs="Times New Roman"/>
                <w:color w:val="1F1F1F"/>
                <w:szCs w:val="24"/>
                <w:lang w:val="en-US"/>
              </w:rPr>
              <w:t>8.</w:t>
            </w:r>
          </w:p>
        </w:tc>
        <w:tc>
          <w:tcPr>
            <w:tcW w:w="0" w:type="auto"/>
            <w:vAlign w:val="center"/>
          </w:tcPr>
          <w:p w14:paraId="5AD1484A">
            <w:pPr>
              <w:spacing w:after="0" w:line="240" w:lineRule="auto"/>
              <w:jc w:val="center"/>
              <w:rPr>
                <w:rFonts w:eastAsia="Times New Roman" w:cs="Times New Roman"/>
                <w:color w:val="1F1F1F"/>
                <w:szCs w:val="24"/>
              </w:rPr>
            </w:pPr>
            <w:r>
              <w:rPr>
                <w:rFonts w:eastAsia="Times New Roman" w:cs="Times New Roman"/>
                <w:bCs/>
                <w:color w:val="1F1F1F"/>
                <w:szCs w:val="24"/>
              </w:rPr>
              <w:t xml:space="preserve">Manajemen </w:t>
            </w:r>
            <w:r>
              <w:rPr>
                <w:rFonts w:eastAsia="Times New Roman" w:cs="Times New Roman"/>
                <w:bCs/>
                <w:i/>
                <w:iCs/>
                <w:color w:val="1F1F1F"/>
                <w:szCs w:val="24"/>
              </w:rPr>
              <w:t>State</w:t>
            </w:r>
            <w:r>
              <w:rPr>
                <w:rFonts w:eastAsia="Times New Roman" w:cs="Times New Roman"/>
                <w:bCs/>
                <w:color w:val="1F1F1F"/>
                <w:szCs w:val="24"/>
              </w:rPr>
              <w:t xml:space="preserve"> (</w:t>
            </w:r>
            <w:r>
              <w:rPr>
                <w:rFonts w:eastAsia="Times New Roman" w:cs="Times New Roman"/>
                <w:bCs/>
                <w:i/>
                <w:color w:val="1F1F1F"/>
                <w:szCs w:val="24"/>
              </w:rPr>
              <w:t>Checkpoint</w:t>
            </w:r>
            <w:r>
              <w:rPr>
                <w:rFonts w:eastAsia="Times New Roman" w:cs="Times New Roman"/>
                <w:bCs/>
                <w:color w:val="1F1F1F"/>
                <w:szCs w:val="24"/>
              </w:rPr>
              <w:t>)</w:t>
            </w:r>
          </w:p>
        </w:tc>
        <w:tc>
          <w:tcPr>
            <w:tcW w:w="0" w:type="auto"/>
            <w:vAlign w:val="center"/>
          </w:tcPr>
          <w:p w14:paraId="29CF1607">
            <w:pPr>
              <w:spacing w:after="0" w:line="240" w:lineRule="auto"/>
              <w:jc w:val="center"/>
              <w:rPr>
                <w:rFonts w:eastAsia="Times New Roman" w:cs="Times New Roman"/>
                <w:color w:val="1F1F1F"/>
                <w:szCs w:val="24"/>
              </w:rPr>
            </w:pPr>
            <w:r>
              <w:rPr>
                <w:rFonts w:eastAsia="Times New Roman" w:cs="Times New Roman"/>
                <w:color w:val="1F1F1F"/>
                <w:szCs w:val="24"/>
              </w:rPr>
              <w:t>Tidak tersedia.</w:t>
            </w:r>
          </w:p>
        </w:tc>
        <w:tc>
          <w:tcPr>
            <w:tcW w:w="0" w:type="auto"/>
            <w:vAlign w:val="center"/>
          </w:tcPr>
          <w:p w14:paraId="088CC78A">
            <w:pPr>
              <w:spacing w:after="0" w:line="240" w:lineRule="auto"/>
              <w:jc w:val="center"/>
              <w:rPr>
                <w:rFonts w:eastAsia="Times New Roman" w:cs="Times New Roman"/>
                <w:color w:val="1F1F1F"/>
                <w:szCs w:val="24"/>
              </w:rPr>
            </w:pPr>
            <w:r>
              <w:rPr>
                <w:rFonts w:eastAsia="Times New Roman" w:cs="Times New Roman"/>
                <w:color w:val="1F1F1F"/>
                <w:szCs w:val="24"/>
              </w:rPr>
              <w:t xml:space="preserve">Mendukung fitur </w:t>
            </w:r>
            <w:r>
              <w:rPr>
                <w:rFonts w:eastAsia="Times New Roman" w:cs="Times New Roman"/>
                <w:i/>
                <w:iCs/>
                <w:color w:val="1F1F1F"/>
                <w:szCs w:val="24"/>
              </w:rPr>
              <w:t>resume</w:t>
            </w:r>
            <w:r>
              <w:rPr>
                <w:rFonts w:eastAsia="Times New Roman" w:cs="Times New Roman"/>
                <w:color w:val="1F1F1F"/>
                <w:szCs w:val="24"/>
              </w:rPr>
              <w:t xml:space="preserve"> dari </w:t>
            </w:r>
            <w:r>
              <w:rPr>
                <w:rFonts w:eastAsia="Times New Roman" w:cs="Times New Roman"/>
                <w:i/>
                <w:iCs/>
                <w:color w:val="1F1F1F"/>
                <w:szCs w:val="24"/>
              </w:rPr>
              <w:t>checkpoint</w:t>
            </w:r>
            <w:r>
              <w:rPr>
                <w:rFonts w:eastAsia="Times New Roman" w:cs="Times New Roman"/>
                <w:color w:val="1F1F1F"/>
                <w:szCs w:val="24"/>
              </w:rPr>
              <w:t xml:space="preserve"> terakhir jika proses terhenti.</w:t>
            </w:r>
          </w:p>
        </w:tc>
      </w:tr>
    </w:tbl>
    <w:p w14:paraId="0848F7EB">
      <w:pPr>
        <w:spacing w:after="0" w:line="240" w:lineRule="auto"/>
      </w:pPr>
    </w:p>
    <w:p w14:paraId="725BA372">
      <w:pPr>
        <w:pStyle w:val="4"/>
      </w:pPr>
      <w:bookmarkStart w:id="69" w:name="_Toc236076744"/>
      <w:r>
        <w:t xml:space="preserve">3.3.4 Modul </w:t>
      </w:r>
      <w:r>
        <w:rPr>
          <w:i/>
        </w:rPr>
        <w:t>Hyperparameter Optimization</w:t>
      </w:r>
      <w:bookmarkEnd w:id="69"/>
    </w:p>
    <w:p w14:paraId="409A4BA5">
      <w:pPr>
        <w:spacing w:after="0"/>
        <w:ind w:firstLine="720"/>
        <w:rPr>
          <w:lang w:val="en-US"/>
        </w:rPr>
      </w:pPr>
      <w:r>
        <w:t xml:space="preserve">Modul (HPO) digunakan untuk mencari konfigurasi model pada lima arsitektur, yaitu </w:t>
      </w:r>
      <w:r>
        <w:rPr>
          <w:i/>
        </w:rPr>
        <w:t>Transformer Encoder-Only</w:t>
      </w:r>
      <w:r>
        <w:t xml:space="preserve">, </w:t>
      </w:r>
      <w:r>
        <w:rPr>
          <w:i/>
        </w:rPr>
        <w:t>Transformer Full,</w:t>
      </w:r>
      <w:r>
        <w:t xml:space="preserve"> GRU, LSTM, dan BiLSTM. IFPOA-X, FPA, PSO, dan </w:t>
      </w:r>
      <w:r>
        <w:rPr>
          <w:lang w:val="en-US"/>
        </w:rPr>
        <w:t>BO</w:t>
      </w:r>
      <w:r>
        <w:t xml:space="preserve"> diterapkan pada ruang pencarian yang sama untuk arsitektur yang sama agar perbandingan antaralgoritma HPO tetap setara. Ruang pencarian dibedakan menurut karakteristik arsitektur karena </w:t>
      </w:r>
      <w:r>
        <w:rPr>
          <w:i/>
        </w:rPr>
        <w:t>Transformer</w:t>
      </w:r>
      <w:r>
        <w:t xml:space="preserve"> menggunakan parameter seperti `</w:t>
      </w:r>
      <w:r>
        <w:rPr>
          <w:rFonts w:ascii="Courier New" w:hAnsi="Courier New" w:cs="Courier New"/>
          <w:bCs/>
          <w:sz w:val="20"/>
          <w:szCs w:val="20"/>
        </w:rPr>
        <w:t>d_model</w:t>
      </w:r>
      <w:r>
        <w:t>` dan `</w:t>
      </w:r>
      <w:r>
        <w:rPr>
          <w:rFonts w:ascii="Courier New" w:hAnsi="Courier New" w:cs="Courier New"/>
          <w:bCs/>
          <w:sz w:val="20"/>
          <w:szCs w:val="20"/>
        </w:rPr>
        <w:t>n_heads</w:t>
      </w:r>
      <w:r>
        <w:t>`, sedangkan model berbasis RNN menggunakan `</w:t>
      </w:r>
      <w:r>
        <w:rPr>
          <w:rFonts w:ascii="Courier New" w:hAnsi="Courier New" w:cs="Courier New"/>
          <w:bCs/>
          <w:sz w:val="20"/>
          <w:szCs w:val="20"/>
        </w:rPr>
        <w:t>hidden_size</w:t>
      </w:r>
      <w:r>
        <w:t>` dan `</w:t>
      </w:r>
      <w:r>
        <w:rPr>
          <w:rFonts w:ascii="Courier New" w:hAnsi="Courier New" w:cs="Courier New"/>
          <w:bCs/>
          <w:sz w:val="20"/>
          <w:szCs w:val="20"/>
        </w:rPr>
        <w:t>num_layers</w:t>
      </w:r>
      <w:r>
        <w:t>`. Setiap konfigurasi terlebih dahulu diperiksa terhadap kendala arsitektural sebelum dievaluasi, termasuk kesesuaian antara `</w:t>
      </w:r>
      <w:r>
        <w:rPr>
          <w:rFonts w:ascii="Courier New" w:hAnsi="Courier New" w:cs="Courier New"/>
          <w:bCs/>
          <w:sz w:val="20"/>
          <w:szCs w:val="20"/>
        </w:rPr>
        <w:t>d_model</w:t>
      </w:r>
      <w:r>
        <w:t>` dan `</w:t>
      </w:r>
      <w:r>
        <w:rPr>
          <w:rFonts w:ascii="Courier New" w:hAnsi="Courier New" w:cs="Courier New"/>
          <w:bCs/>
          <w:sz w:val="20"/>
          <w:szCs w:val="20"/>
        </w:rPr>
        <w:t>n_heads</w:t>
      </w:r>
      <w:r>
        <w:t xml:space="preserve">` pada mekanisme </w:t>
      </w:r>
      <w:r>
        <w:rPr>
          <w:i/>
        </w:rPr>
        <w:t>multi-head attention</w:t>
      </w:r>
      <w:r>
        <w:rPr>
          <w:lang w:val="en-US"/>
        </w:rPr>
        <w:t>.</w:t>
      </w:r>
    </w:p>
    <w:p w14:paraId="7A54BCE6">
      <w:pPr>
        <w:pStyle w:val="44"/>
      </w:pPr>
      <w:r>
        <w:t xml:space="preserve">a) Ruang </w:t>
      </w:r>
      <w:r>
        <w:rPr>
          <w:i/>
        </w:rPr>
        <w:t>Search Space</w:t>
      </w:r>
    </w:p>
    <w:p w14:paraId="1FDFBA18">
      <w:pPr>
        <w:spacing w:after="0"/>
        <w:ind w:left="720" w:firstLine="720"/>
        <w:rPr>
          <w:lang w:val="en-US"/>
        </w:rPr>
      </w:pPr>
      <w:r>
        <w:t>Definisi batasan parameter</w:t>
      </w:r>
      <w:r>
        <w:rPr>
          <w:lang w:val="en-US"/>
        </w:rPr>
        <w:t xml:space="preserve"> yang </w:t>
      </w:r>
      <w:r>
        <w:t xml:space="preserve">mengonstruksi ruang pencarian yang terdiri dari </w:t>
      </w:r>
      <w:r>
        <w:rPr>
          <w:lang w:val="en-US"/>
        </w:rPr>
        <w:t>8</w:t>
      </w:r>
      <w:r>
        <w:t xml:space="preserve"> dimensi utama </w:t>
      </w:r>
      <w:r>
        <w:rPr>
          <w:lang w:val="en-US"/>
        </w:rPr>
        <w:t>dan</w:t>
      </w:r>
      <w:r>
        <w:t xml:space="preserve"> dijelaskan </w:t>
      </w:r>
      <w:r>
        <w:rPr>
          <w:lang w:val="en-US"/>
        </w:rPr>
        <w:t>pada</w:t>
      </w:r>
      <w:r>
        <w:t xml:space="preserve"> </w:t>
      </w:r>
      <w:r>
        <w:rPr>
          <w:lang w:val="en-US"/>
        </w:rPr>
        <w:t>T</w:t>
      </w:r>
      <w:r>
        <w:t xml:space="preserve">abel </w:t>
      </w:r>
      <w:r>
        <w:rPr>
          <w:lang w:val="en-US"/>
        </w:rPr>
        <w:t>3. 8.</w:t>
      </w:r>
    </w:p>
    <w:p w14:paraId="64F2EBFB">
      <w:pPr>
        <w:pStyle w:val="11"/>
        <w:keepNext/>
        <w:jc w:val="center"/>
        <w:rPr>
          <w:b/>
          <w:i w:val="0"/>
          <w:color w:val="auto"/>
          <w:sz w:val="24"/>
        </w:rPr>
      </w:pPr>
      <w:bookmarkStart w:id="70" w:name="_Toc235035448"/>
      <w:r>
        <w:rPr>
          <w:b/>
          <w:i w:val="0"/>
          <w:color w:val="auto"/>
          <w:sz w:val="24"/>
        </w:rPr>
        <w:t>Tabel 3.</w:t>
      </w:r>
      <w:r>
        <w:rPr>
          <w:b/>
          <w:i w:val="0"/>
          <w:color w:val="auto"/>
          <w:sz w:val="24"/>
          <w:lang w:val="en-US"/>
        </w:rPr>
        <w:t xml:space="preserve">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8</w:t>
      </w:r>
      <w:r>
        <w:rPr>
          <w:b/>
          <w:i w:val="0"/>
          <w:color w:val="auto"/>
          <w:sz w:val="24"/>
        </w:rPr>
        <w:fldChar w:fldCharType="end"/>
      </w:r>
      <w:r>
        <w:rPr>
          <w:b/>
          <w:i w:val="0"/>
          <w:color w:val="auto"/>
          <w:sz w:val="24"/>
        </w:rPr>
        <w:t xml:space="preserve"> Parameter Model yang Akan Dioptimasi</w:t>
      </w:r>
      <w:bookmarkEnd w:id="70"/>
    </w:p>
    <w:tbl>
      <w:tblPr>
        <w:tblStyle w:val="7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80"/>
        <w:gridCol w:w="1777"/>
        <w:gridCol w:w="4496"/>
      </w:tblGrid>
      <w:tr w14:paraId="14DC9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0" w:type="auto"/>
            <w:vAlign w:val="center"/>
          </w:tcPr>
          <w:p w14:paraId="5653DE0A">
            <w:pPr>
              <w:spacing w:after="0" w:line="240" w:lineRule="auto"/>
              <w:jc w:val="center"/>
              <w:rPr>
                <w:rFonts w:ascii="Times New Roman" w:hAnsi="Times New Roman" w:eastAsia="Times New Roman" w:cs="Times New Roman"/>
                <w:b/>
                <w:bCs/>
                <w:szCs w:val="24"/>
                <w:lang w:val="en-US"/>
              </w:rPr>
            </w:pPr>
            <w:r>
              <w:rPr>
                <w:rFonts w:ascii="Times New Roman" w:hAnsi="Times New Roman" w:eastAsia="Times New Roman" w:cs="Times New Roman"/>
                <w:b/>
                <w:bCs/>
                <w:szCs w:val="24"/>
                <w:lang w:val="en-US"/>
              </w:rPr>
              <w:t>Arsitektur</w:t>
            </w:r>
          </w:p>
        </w:tc>
        <w:tc>
          <w:tcPr>
            <w:tcW w:w="0" w:type="auto"/>
            <w:vAlign w:val="center"/>
          </w:tcPr>
          <w:p w14:paraId="6A7A0803">
            <w:pPr>
              <w:spacing w:after="0" w:line="240" w:lineRule="auto"/>
              <w:jc w:val="center"/>
              <w:rPr>
                <w:rFonts w:ascii="Times New Roman" w:hAnsi="Times New Roman" w:eastAsia="Times New Roman" w:cs="Times New Roman"/>
                <w:b/>
                <w:bCs/>
                <w:szCs w:val="24"/>
                <w:lang w:val="en-US"/>
              </w:rPr>
            </w:pPr>
            <w:r>
              <w:rPr>
                <w:rFonts w:ascii="Times New Roman" w:hAnsi="Times New Roman" w:eastAsia="Times New Roman" w:cs="Times New Roman"/>
                <w:b/>
                <w:bCs/>
                <w:szCs w:val="24"/>
                <w:lang w:val="en-US"/>
              </w:rPr>
              <w:t>Parameter</w:t>
            </w:r>
          </w:p>
        </w:tc>
        <w:tc>
          <w:tcPr>
            <w:tcW w:w="0" w:type="auto"/>
            <w:vAlign w:val="center"/>
          </w:tcPr>
          <w:p w14:paraId="669247E2">
            <w:pPr>
              <w:spacing w:after="0" w:line="240" w:lineRule="auto"/>
              <w:jc w:val="center"/>
              <w:rPr>
                <w:rFonts w:ascii="Times New Roman" w:hAnsi="Times New Roman" w:eastAsia="Times New Roman" w:cs="Times New Roman"/>
                <w:b/>
                <w:bCs/>
                <w:szCs w:val="24"/>
                <w:lang w:val="en-US"/>
              </w:rPr>
            </w:pPr>
            <w:r>
              <w:rPr>
                <w:rFonts w:ascii="Times New Roman" w:hAnsi="Times New Roman" w:eastAsia="Times New Roman" w:cs="Times New Roman"/>
                <w:b/>
                <w:bCs/>
                <w:szCs w:val="24"/>
                <w:lang w:val="en-US"/>
              </w:rPr>
              <w:t>Fungsi</w:t>
            </w:r>
          </w:p>
        </w:tc>
      </w:tr>
      <w:tr w14:paraId="266CB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6EDC7814">
            <w:pPr>
              <w:spacing w:after="0" w:line="240" w:lineRule="auto"/>
              <w:jc w:val="center"/>
              <w:rPr>
                <w:rFonts w:ascii="Times New Roman" w:hAnsi="Times New Roman" w:eastAsia="Times New Roman" w:cs="Times New Roman"/>
                <w:i/>
                <w:szCs w:val="24"/>
                <w:lang w:val="en-US"/>
              </w:rPr>
            </w:pPr>
            <w:r>
              <w:rPr>
                <w:rFonts w:ascii="Times New Roman" w:hAnsi="Times New Roman" w:eastAsia="Times New Roman" w:cs="Times New Roman"/>
                <w:i/>
                <w:szCs w:val="24"/>
                <w:lang w:val="en-US"/>
              </w:rPr>
              <w:t>Transformer Encoder-Only</w:t>
            </w:r>
          </w:p>
        </w:tc>
        <w:tc>
          <w:tcPr>
            <w:tcW w:w="0" w:type="auto"/>
            <w:vAlign w:val="center"/>
          </w:tcPr>
          <w:p w14:paraId="1AF7778D">
            <w:pPr>
              <w:spacing w:after="0" w:line="240" w:lineRule="auto"/>
              <w:jc w:val="center"/>
              <w:rPr>
                <w:rFonts w:ascii="Times New Roman" w:hAnsi="Times New Roman" w:eastAsia="Times New Roman" w:cs="Times New Roman"/>
                <w:szCs w:val="24"/>
                <w:lang w:val="en-US"/>
              </w:rPr>
            </w:pPr>
            <w:r>
              <w:rPr>
                <w:rFonts w:ascii="Courier New" w:hAnsi="Courier New" w:cs="Courier New"/>
                <w:bCs/>
                <w:sz w:val="20"/>
                <w:szCs w:val="20"/>
                <w:lang w:val="en-US"/>
              </w:rPr>
              <w:t>d_model</w:t>
            </w:r>
          </w:p>
        </w:tc>
        <w:tc>
          <w:tcPr>
            <w:tcW w:w="0" w:type="auto"/>
            <w:vAlign w:val="center"/>
          </w:tcPr>
          <w:p w14:paraId="22B21F6F">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Menentukan dimensi representasi fitur internal model.</w:t>
            </w:r>
          </w:p>
        </w:tc>
      </w:tr>
      <w:tr w14:paraId="4248D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3489E475">
            <w:pPr>
              <w:spacing w:after="0" w:line="240" w:lineRule="auto"/>
              <w:jc w:val="center"/>
              <w:rPr>
                <w:rFonts w:ascii="Times New Roman" w:hAnsi="Times New Roman" w:eastAsia="Times New Roman" w:cs="Times New Roman"/>
                <w:i/>
                <w:szCs w:val="24"/>
                <w:lang w:val="en-US"/>
              </w:rPr>
            </w:pPr>
            <w:r>
              <w:rPr>
                <w:rFonts w:ascii="Times New Roman" w:hAnsi="Times New Roman" w:eastAsia="Times New Roman" w:cs="Times New Roman"/>
                <w:i/>
                <w:szCs w:val="24"/>
                <w:lang w:val="en-US"/>
              </w:rPr>
              <w:t>Transformer Encoder-Only</w:t>
            </w:r>
          </w:p>
        </w:tc>
        <w:tc>
          <w:tcPr>
            <w:tcW w:w="0" w:type="auto"/>
            <w:vAlign w:val="center"/>
          </w:tcPr>
          <w:p w14:paraId="290E2CAE">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n_heads</w:t>
            </w:r>
          </w:p>
        </w:tc>
        <w:tc>
          <w:tcPr>
            <w:tcW w:w="0" w:type="auto"/>
            <w:vAlign w:val="center"/>
          </w:tcPr>
          <w:p w14:paraId="1FD4D053">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 xml:space="preserve">Menentukan jumlah kepala </w:t>
            </w:r>
            <w:r>
              <w:rPr>
                <w:rFonts w:ascii="Times New Roman" w:hAnsi="Times New Roman" w:eastAsia="Times New Roman" w:cs="Times New Roman"/>
                <w:i/>
                <w:iCs/>
                <w:szCs w:val="24"/>
                <w:lang w:val="en-US"/>
              </w:rPr>
              <w:t>multi-head attention</w:t>
            </w:r>
            <w:r>
              <w:rPr>
                <w:rFonts w:ascii="Times New Roman" w:hAnsi="Times New Roman" w:eastAsia="Times New Roman" w:cs="Times New Roman"/>
                <w:szCs w:val="24"/>
                <w:lang w:val="en-US"/>
              </w:rPr>
              <w:t xml:space="preserve"> untuk menangkap berbagai pola hubungan data secara paralel.</w:t>
            </w:r>
          </w:p>
        </w:tc>
      </w:tr>
      <w:tr w14:paraId="10A6C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7EFCA129">
            <w:pPr>
              <w:spacing w:after="0" w:line="240" w:lineRule="auto"/>
              <w:jc w:val="center"/>
              <w:rPr>
                <w:rFonts w:ascii="Times New Roman" w:hAnsi="Times New Roman" w:eastAsia="Times New Roman" w:cs="Times New Roman"/>
                <w:i/>
                <w:szCs w:val="24"/>
                <w:lang w:val="en-US"/>
              </w:rPr>
            </w:pPr>
            <w:r>
              <w:rPr>
                <w:rFonts w:ascii="Times New Roman" w:hAnsi="Times New Roman" w:eastAsia="Times New Roman" w:cs="Times New Roman"/>
                <w:i/>
                <w:szCs w:val="24"/>
                <w:lang w:val="en-US"/>
              </w:rPr>
              <w:t>Transformer Encoder-Only</w:t>
            </w:r>
          </w:p>
        </w:tc>
        <w:tc>
          <w:tcPr>
            <w:tcW w:w="0" w:type="auto"/>
            <w:vAlign w:val="center"/>
          </w:tcPr>
          <w:p w14:paraId="3CBF8DF1">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n_layers</w:t>
            </w:r>
          </w:p>
        </w:tc>
        <w:tc>
          <w:tcPr>
            <w:tcW w:w="0" w:type="auto"/>
            <w:vAlign w:val="center"/>
          </w:tcPr>
          <w:p w14:paraId="1BB52DB2">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Menentukan jumlah lapisan encoder yang memengaruhi kedalaman representasi fitur.</w:t>
            </w:r>
          </w:p>
        </w:tc>
      </w:tr>
      <w:tr w14:paraId="2D39C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68867B53">
            <w:pPr>
              <w:spacing w:after="0" w:line="240" w:lineRule="auto"/>
              <w:jc w:val="center"/>
              <w:rPr>
                <w:rFonts w:ascii="Times New Roman" w:hAnsi="Times New Roman" w:eastAsia="Times New Roman" w:cs="Times New Roman"/>
                <w:i/>
                <w:szCs w:val="24"/>
                <w:lang w:val="en-US"/>
              </w:rPr>
            </w:pPr>
            <w:r>
              <w:rPr>
                <w:rFonts w:ascii="Times New Roman" w:hAnsi="Times New Roman" w:eastAsia="Times New Roman" w:cs="Times New Roman"/>
                <w:i/>
                <w:szCs w:val="24"/>
                <w:lang w:val="en-US"/>
              </w:rPr>
              <w:t>Transformer Encoder-Only</w:t>
            </w:r>
          </w:p>
        </w:tc>
        <w:tc>
          <w:tcPr>
            <w:tcW w:w="0" w:type="auto"/>
            <w:vAlign w:val="center"/>
          </w:tcPr>
          <w:p w14:paraId="0A360642">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dropout</w:t>
            </w:r>
          </w:p>
        </w:tc>
        <w:tc>
          <w:tcPr>
            <w:tcW w:w="0" w:type="auto"/>
            <w:vAlign w:val="center"/>
          </w:tcPr>
          <w:p w14:paraId="559AC30E">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 xml:space="preserve">Mengurangi risiko </w:t>
            </w:r>
            <w:r>
              <w:rPr>
                <w:rFonts w:ascii="Times New Roman" w:hAnsi="Times New Roman" w:eastAsia="Times New Roman" w:cs="Times New Roman"/>
                <w:i/>
                <w:iCs/>
                <w:szCs w:val="24"/>
                <w:lang w:val="en-US"/>
              </w:rPr>
              <w:t>overfitting</w:t>
            </w:r>
            <w:r>
              <w:rPr>
                <w:rFonts w:ascii="Times New Roman" w:hAnsi="Times New Roman" w:eastAsia="Times New Roman" w:cs="Times New Roman"/>
                <w:szCs w:val="24"/>
                <w:lang w:val="en-US"/>
              </w:rPr>
              <w:t xml:space="preserve"> melalui regularisasi.</w:t>
            </w:r>
          </w:p>
        </w:tc>
      </w:tr>
      <w:tr w14:paraId="62B59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1CDEFC74">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Seluruh model</w:t>
            </w:r>
          </w:p>
        </w:tc>
        <w:tc>
          <w:tcPr>
            <w:tcW w:w="0" w:type="auto"/>
            <w:vAlign w:val="center"/>
          </w:tcPr>
          <w:p w14:paraId="3187B061">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learning_rate</w:t>
            </w:r>
          </w:p>
        </w:tc>
        <w:tc>
          <w:tcPr>
            <w:tcW w:w="0" w:type="auto"/>
            <w:vAlign w:val="center"/>
          </w:tcPr>
          <w:p w14:paraId="3D864298">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Mengatur besar pembaruan bobot model pada setiap iterasi pelatihan.</w:t>
            </w:r>
          </w:p>
        </w:tc>
      </w:tr>
      <w:tr w14:paraId="4B700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6B0A8BA1">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Seluruh model</w:t>
            </w:r>
          </w:p>
        </w:tc>
        <w:tc>
          <w:tcPr>
            <w:tcW w:w="0" w:type="auto"/>
            <w:vAlign w:val="center"/>
          </w:tcPr>
          <w:p w14:paraId="0E9B8E63">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weight_decay</w:t>
            </w:r>
          </w:p>
        </w:tc>
        <w:tc>
          <w:tcPr>
            <w:tcW w:w="0" w:type="auto"/>
            <w:vAlign w:val="center"/>
          </w:tcPr>
          <w:p w14:paraId="00B218DA">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 xml:space="preserve">Memberikan regularisasi terhadap bobot agar model lebih stabil dan mengurangi </w:t>
            </w:r>
            <w:r>
              <w:rPr>
                <w:rFonts w:ascii="Times New Roman" w:hAnsi="Times New Roman" w:eastAsia="Times New Roman" w:cs="Times New Roman"/>
                <w:i/>
                <w:iCs/>
                <w:szCs w:val="24"/>
                <w:lang w:val="en-US"/>
              </w:rPr>
              <w:t>overfitting</w:t>
            </w:r>
            <w:r>
              <w:rPr>
                <w:rFonts w:ascii="Times New Roman" w:hAnsi="Times New Roman" w:eastAsia="Times New Roman" w:cs="Times New Roman"/>
                <w:szCs w:val="24"/>
                <w:lang w:val="en-US"/>
              </w:rPr>
              <w:t>.</w:t>
            </w:r>
          </w:p>
        </w:tc>
      </w:tr>
      <w:tr w14:paraId="66165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25004339">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Seluruh model</w:t>
            </w:r>
          </w:p>
        </w:tc>
        <w:tc>
          <w:tcPr>
            <w:tcW w:w="0" w:type="auto"/>
            <w:vAlign w:val="center"/>
          </w:tcPr>
          <w:p w14:paraId="161F9A6E">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batch_size</w:t>
            </w:r>
          </w:p>
        </w:tc>
        <w:tc>
          <w:tcPr>
            <w:tcW w:w="0" w:type="auto"/>
            <w:vAlign w:val="center"/>
          </w:tcPr>
          <w:p w14:paraId="557434B1">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Menentukan jumlah sampel yang diproses dalam satu kali pembaruan parameter.</w:t>
            </w:r>
          </w:p>
        </w:tc>
      </w:tr>
      <w:tr w14:paraId="1B366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1F2CBB7">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Seluruh model</w:t>
            </w:r>
          </w:p>
        </w:tc>
        <w:tc>
          <w:tcPr>
            <w:tcW w:w="0" w:type="auto"/>
            <w:vAlign w:val="center"/>
          </w:tcPr>
          <w:p w14:paraId="5A7DE6E6">
            <w:pPr>
              <w:spacing w:after="0" w:line="240" w:lineRule="auto"/>
              <w:jc w:val="center"/>
              <w:rPr>
                <w:rFonts w:ascii="Courier New" w:hAnsi="Courier New" w:cs="Courier New"/>
                <w:bCs/>
                <w:sz w:val="20"/>
                <w:szCs w:val="20"/>
                <w:lang w:val="en-US"/>
              </w:rPr>
            </w:pPr>
            <w:r>
              <w:rPr>
                <w:rFonts w:ascii="Courier New" w:hAnsi="Courier New" w:cs="Courier New"/>
                <w:bCs/>
                <w:sz w:val="20"/>
                <w:szCs w:val="20"/>
                <w:lang w:val="en-US"/>
              </w:rPr>
              <w:t>window_size</w:t>
            </w:r>
          </w:p>
        </w:tc>
        <w:tc>
          <w:tcPr>
            <w:tcW w:w="0" w:type="auto"/>
            <w:vAlign w:val="center"/>
          </w:tcPr>
          <w:p w14:paraId="2B0FE0F9">
            <w:pPr>
              <w:spacing w:after="0" w:line="240" w:lineRule="auto"/>
              <w:jc w:val="center"/>
              <w:rPr>
                <w:rFonts w:ascii="Times New Roman" w:hAnsi="Times New Roman" w:eastAsia="Times New Roman" w:cs="Times New Roman"/>
                <w:szCs w:val="24"/>
                <w:lang w:val="en-US"/>
              </w:rPr>
            </w:pPr>
            <w:r>
              <w:rPr>
                <w:rFonts w:ascii="Times New Roman" w:hAnsi="Times New Roman" w:eastAsia="Times New Roman" w:cs="Times New Roman"/>
                <w:szCs w:val="24"/>
                <w:lang w:val="en-US"/>
              </w:rPr>
              <w:t>Menentukan panjang data historis (</w:t>
            </w:r>
            <w:r>
              <w:rPr>
                <w:rFonts w:ascii="Times New Roman" w:hAnsi="Times New Roman" w:eastAsia="Times New Roman" w:cs="Times New Roman"/>
                <w:i/>
                <w:iCs/>
                <w:szCs w:val="24"/>
                <w:lang w:val="en-US"/>
              </w:rPr>
              <w:t>look-back window</w:t>
            </w:r>
            <w:r>
              <w:rPr>
                <w:rFonts w:ascii="Times New Roman" w:hAnsi="Times New Roman" w:eastAsia="Times New Roman" w:cs="Times New Roman"/>
                <w:szCs w:val="24"/>
                <w:lang w:val="en-US"/>
              </w:rPr>
              <w:t>) yang digunakan sebagai masukan model.</w:t>
            </w:r>
          </w:p>
        </w:tc>
      </w:tr>
    </w:tbl>
    <w:p w14:paraId="11CCAC2E">
      <w:pPr>
        <w:spacing w:after="0" w:line="240" w:lineRule="auto"/>
      </w:pPr>
    </w:p>
    <w:p w14:paraId="73F61143">
      <w:pPr>
        <w:pStyle w:val="44"/>
      </w:pPr>
      <w:r>
        <w:t>b) Evaluasi Fungsi Objektif</w:t>
      </w:r>
    </w:p>
    <w:p w14:paraId="42012C27">
      <w:pPr>
        <w:spacing w:after="0"/>
        <w:ind w:left="720"/>
      </w:pPr>
      <w:r>
        <w:rPr>
          <w:b/>
        </w:rPr>
        <w:tab/>
      </w:r>
      <w:r>
        <w:t xml:space="preserve">Evaluasi kualitas konfigurasi </w:t>
      </w:r>
      <w:r>
        <w:rPr>
          <w:lang w:val="en-US"/>
        </w:rPr>
        <w:t xml:space="preserve">menjalankan </w:t>
      </w:r>
      <w:r>
        <w:t>serangkaian proses mulai</w:t>
      </w:r>
      <w:r>
        <w:rPr>
          <w:lang w:val="en-US"/>
        </w:rPr>
        <w:t xml:space="preserve"> d</w:t>
      </w:r>
      <w:r>
        <w:t>ari pembentukan model, pelatihan, hingga validasi. Proses pelatihan memanfaatkan</w:t>
      </w:r>
      <w:r>
        <w:rPr>
          <w:lang w:val="en-US"/>
        </w:rPr>
        <w:t xml:space="preserve"> hasil </w:t>
      </w:r>
      <w:r>
        <w:t>dari sesi sebelumnya</w:t>
      </w:r>
      <w:r>
        <w:rPr>
          <w:lang w:val="en-US"/>
        </w:rPr>
        <w:t xml:space="preserve">, </w:t>
      </w:r>
      <w:r>
        <w:t>kemudian dievaluasi pada data validasi lintas horizon menggunakan untuk menjamin kestabilan hasil.</w:t>
      </w:r>
      <w:r>
        <w:rPr>
          <w:lang w:val="en-US"/>
        </w:rPr>
        <w:t xml:space="preserve"> Modul</w:t>
      </w:r>
      <w:r>
        <w:t xml:space="preserve"> ini </w:t>
      </w:r>
      <w:r>
        <w:rPr>
          <w:lang w:val="en-US"/>
        </w:rPr>
        <w:t xml:space="preserve">direncanakan akan </w:t>
      </w:r>
      <w:r>
        <w:t>menghasilkan kamus metrik, antara lain:</w:t>
      </w:r>
    </w:p>
    <w:p w14:paraId="4207B4E7">
      <w:pPr>
        <w:pStyle w:val="33"/>
        <w:numPr>
          <w:ilvl w:val="0"/>
          <w:numId w:val="27"/>
        </w:numPr>
        <w:spacing w:after="0"/>
      </w:pPr>
      <w:r>
        <w:t xml:space="preserve">Rata-rata </w:t>
      </w:r>
      <w:r>
        <w:rPr>
          <w:iCs/>
          <w:lang w:val="en-US"/>
        </w:rPr>
        <w:t>RMSE</w:t>
      </w:r>
      <w:r>
        <w:t xml:space="preserve"> </w:t>
      </w:r>
    </w:p>
    <w:p w14:paraId="3CB3C880">
      <w:pPr>
        <w:pStyle w:val="33"/>
        <w:numPr>
          <w:ilvl w:val="0"/>
          <w:numId w:val="27"/>
        </w:numPr>
        <w:spacing w:after="0"/>
      </w:pPr>
      <w:r>
        <w:t>Skor ketahanan (</w:t>
      </w:r>
      <w:r>
        <w:rPr>
          <w:i/>
          <w:iCs/>
        </w:rPr>
        <w:t>robustness</w:t>
      </w:r>
      <w:r>
        <w:t>).</w:t>
      </w:r>
    </w:p>
    <w:p w14:paraId="581FB462">
      <w:pPr>
        <w:pStyle w:val="33"/>
        <w:numPr>
          <w:ilvl w:val="0"/>
          <w:numId w:val="27"/>
        </w:numPr>
        <w:spacing w:after="0"/>
      </w:pPr>
      <w:r>
        <w:t>Indikator kompleksitas komputasi</w:t>
      </w:r>
    </w:p>
    <w:p w14:paraId="5358044B">
      <w:pPr>
        <w:spacing w:after="0"/>
        <w:ind w:firstLine="720"/>
        <w:rPr>
          <w:rFonts w:eastAsia="Times New Roman" w:cs="Times New Roman"/>
          <w:szCs w:val="24"/>
        </w:rPr>
      </w:pPr>
      <w:r>
        <w:t xml:space="preserve">Penghitungan skor Skor ketahanan </w:t>
      </w:r>
      <w:r>
        <w:rPr>
          <w:rFonts w:eastAsia="Times New Roman" w:cs="Times New Roman"/>
          <w:szCs w:val="24"/>
        </w:rPr>
        <w:t xml:space="preserve">merupakan kombinasi dari </w:t>
      </w:r>
      <w:r>
        <w:rPr>
          <w:rFonts w:eastAsia="Times New Roman" w:cs="Times New Roman"/>
          <w:szCs w:val="24"/>
          <w:lang w:val="en-US"/>
        </w:rPr>
        <w:t>3</w:t>
      </w:r>
      <w:r>
        <w:rPr>
          <w:rFonts w:eastAsia="Times New Roman" w:cs="Times New Roman"/>
          <w:szCs w:val="24"/>
        </w:rPr>
        <w:t xml:space="preserve"> elemen:</w:t>
      </w:r>
    </w:p>
    <w:p w14:paraId="72A99247">
      <w:pPr>
        <w:pStyle w:val="33"/>
        <w:numPr>
          <w:ilvl w:val="0"/>
          <w:numId w:val="28"/>
        </w:numPr>
        <w:spacing w:after="0"/>
      </w:pPr>
      <w:r>
        <w:rPr>
          <w:bCs/>
        </w:rPr>
        <w:t>Log-Sum-Exp Error</w:t>
      </w:r>
      <w:r>
        <w:t xml:space="preserve">: Menggunakan parameter temperatur untuk mendeteksi </w:t>
      </w:r>
      <w:r>
        <w:rPr>
          <w:i/>
          <w:iCs/>
        </w:rPr>
        <w:t>error</w:t>
      </w:r>
      <w:r>
        <w:t xml:space="preserve"> relatif terhadap </w:t>
      </w:r>
      <w:r>
        <w:rPr>
          <w:i/>
          <w:iCs/>
        </w:rPr>
        <w:t>baseline</w:t>
      </w:r>
      <w:r>
        <w:t>.</w:t>
      </w:r>
    </w:p>
    <w:p w14:paraId="6E5D903F">
      <w:pPr>
        <w:pStyle w:val="33"/>
        <w:numPr>
          <w:ilvl w:val="0"/>
          <w:numId w:val="28"/>
        </w:numPr>
        <w:spacing w:after="0"/>
      </w:pPr>
      <w:r>
        <w:rPr>
          <w:bCs/>
        </w:rPr>
        <w:t>CVaR95</w:t>
      </w:r>
      <w:r>
        <w:t>: Menangkap kesalahan ekstrem pada kuantil 9</w:t>
      </w:r>
      <w:r>
        <w:rPr>
          <w:lang w:val="en-US"/>
        </w:rPr>
        <w:t>5</w:t>
      </w:r>
      <w:r>
        <w:t>%.</w:t>
      </w:r>
    </w:p>
    <w:p w14:paraId="1673B4CE">
      <w:pPr>
        <w:pStyle w:val="33"/>
        <w:numPr>
          <w:ilvl w:val="0"/>
          <w:numId w:val="28"/>
        </w:numPr>
        <w:spacing w:after="0"/>
      </w:pPr>
      <w:r>
        <w:rPr>
          <w:bCs/>
        </w:rPr>
        <w:t>Standar Deviasi</w:t>
      </w:r>
      <w:r>
        <w:t xml:space="preserve">: Mengukur variabilitas </w:t>
      </w:r>
      <w:r>
        <w:rPr>
          <w:i/>
          <w:iCs/>
        </w:rPr>
        <w:t>error</w:t>
      </w:r>
      <w:r>
        <w:rPr>
          <w:lang w:val="en-US"/>
        </w:rPr>
        <w:t>.</w:t>
      </w:r>
    </w:p>
    <w:p w14:paraId="6FEBF64F">
      <w:pPr>
        <w:pStyle w:val="44"/>
      </w:pPr>
      <w:r>
        <w:t>c) Manajemen Eksekusi (</w:t>
      </w:r>
      <w:r>
        <w:rPr>
          <w:i/>
        </w:rPr>
        <w:t>Runner</w:t>
      </w:r>
      <w:r>
        <w:t>)</w:t>
      </w:r>
    </w:p>
    <w:p w14:paraId="4A552CBC">
      <w:pPr>
        <w:ind w:left="720" w:firstLine="720"/>
      </w:pPr>
      <w:r>
        <w:rPr>
          <w:lang w:val="en-US"/>
        </w:rPr>
        <w:t xml:space="preserve">Modul ini </w:t>
      </w:r>
      <w:r>
        <w:t xml:space="preserve">menginisialisasi algoritma IFPOA-X, mengelola fitur </w:t>
      </w:r>
      <w:r>
        <w:rPr>
          <w:i/>
        </w:rPr>
        <w:t>checkpoint</w:t>
      </w:r>
      <w:r>
        <w:t xml:space="preserve"> (memungkinkan proses dilanjutkan jika terhenti), serta menyimpan </w:t>
      </w:r>
      <w:r>
        <w:rPr>
          <w:i/>
        </w:rPr>
        <w:t>Pareto front</w:t>
      </w:r>
      <w:r>
        <w:t xml:space="preserve"> dan riwayat optimasi ke dalam format JSO</w:t>
      </w:r>
      <w:r>
        <w:rPr>
          <w:lang w:val="en-US"/>
        </w:rPr>
        <w:t>N</w:t>
      </w:r>
      <w:r>
        <w:t>.</w:t>
      </w:r>
      <w:r>
        <w:rPr>
          <w:lang w:val="en-US"/>
        </w:rPr>
        <w:t xml:space="preserve"> Modul ini juga </w:t>
      </w:r>
      <w:r>
        <w:t xml:space="preserve">menyediakan </w:t>
      </w:r>
      <w:r>
        <w:rPr>
          <w:lang w:val="en-US"/>
        </w:rPr>
        <w:t xml:space="preserve">fitur untuk </w:t>
      </w:r>
      <w:r>
        <w:t xml:space="preserve">menjalankan algoritma </w:t>
      </w:r>
      <w:r>
        <w:rPr>
          <w:lang w:val="en-US"/>
        </w:rPr>
        <w:t>pembanding</w:t>
      </w:r>
      <w:r>
        <w:t xml:space="preserve"> (PSO, FPA, dan </w:t>
      </w:r>
      <w:r>
        <w:rPr>
          <w:lang w:val="en-US"/>
        </w:rPr>
        <w:t>BO</w:t>
      </w:r>
      <w:r>
        <w:t xml:space="preserve">) dengan </w:t>
      </w:r>
      <w:r>
        <w:rPr>
          <w:i/>
          <w:lang w:val="en-US"/>
        </w:rPr>
        <w:t>search space</w:t>
      </w:r>
      <w:r>
        <w:t xml:space="preserve">, definisi </w:t>
      </w:r>
      <w:r>
        <w:rPr>
          <w:i/>
        </w:rPr>
        <w:t>rung</w:t>
      </w:r>
      <w:r>
        <w:t>, dan anggaran evaluasi yang sama. Hasil setiap algoritma disimpan dalam direktori terpisah untuk analisis komparatif yang adil.</w:t>
      </w:r>
    </w:p>
    <w:p w14:paraId="722CB167">
      <w:pPr>
        <w:pStyle w:val="44"/>
      </w:pPr>
      <w:r>
        <w:t>d) Formulasi Tujuan Multiobjektif dan Indikator Skalar</w:t>
      </w:r>
    </w:p>
    <w:p w14:paraId="1F827D60">
      <w:pPr>
        <w:ind w:firstLine="720"/>
      </w:pPr>
      <w:r>
        <w:t xml:space="preserve">Optimasi hyperparameter dalam penelitian ini dirumuskan sebagai permasalahan multiobjektif. Setiap konfigurasi hyperparameter </w:t>
      </w:r>
      <w:r>
        <w:rPr>
          <w:i/>
        </w:rPr>
        <w:t>θ</w:t>
      </w:r>
      <w:r>
        <w:t xml:space="preserve"> tidak hanya dinilai berdasarkan satu nilai loss, tetapi direpresentasikan oleh vektor tujuan:</w:t>
      </w:r>
    </w:p>
    <w:p w14:paraId="47DC4D5C">
      <m:oMathPara>
        <m:oMath>
          <m:eqArr>
            <m:eqArrPr>
              <m:maxDist m:val="1"/>
              <m:ctrlPr>
                <w:rPr>
                  <w:rFonts w:ascii="Cambria Math" w:hAnsi="Cambria Math"/>
                  <w:i/>
                </w:rPr>
              </m:ctrlPr>
            </m:eqArrPr>
            <m:e>
              <m:r>
                <m:rPr/>
                <w:rPr>
                  <w:rFonts w:ascii="Cambria Math" w:hAnsi="Cambria Math"/>
                </w:rPr>
                <m:t>F</m:t>
              </m:r>
              <m:d>
                <m:dPr>
                  <m:ctrlPr>
                    <w:rPr>
                      <w:rFonts w:ascii="Cambria Math" w:hAnsi="Cambria Math"/>
                      <w:i/>
                    </w:rPr>
                  </m:ctrlPr>
                </m:dPr>
                <m:e>
                  <m:r>
                    <m:rPr>
                      <m:sty m:val="p"/>
                    </m:rPr>
                    <w:rPr>
                      <w:rFonts w:ascii="Cambria Math" w:hAnsi="Cambria Math"/>
                    </w:rPr>
                    <m:t>θ</m:t>
                  </m:r>
                  <m:ctrlPr>
                    <w:rPr>
                      <w:rFonts w:ascii="Cambria Math" w:hAnsi="Cambria Math"/>
                      <w:i/>
                    </w:rPr>
                  </m:ctrlPr>
                </m:e>
              </m:d>
              <m:r>
                <m:rP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f</m:t>
                      </m:r>
                      <m:ctrlPr>
                        <w:rPr>
                          <w:rFonts w:ascii="Cambria Math" w:hAnsi="Cambria Math"/>
                          <w:i/>
                        </w:rPr>
                      </m:ctrlPr>
                    </m:e>
                    <m:sub>
                      <m:r>
                        <m:rPr>
                          <m:nor/>
                          <m:sty m:val="p"/>
                        </m:rPr>
                        <w:rPr>
                          <w:rFonts w:ascii="Cambria Math" w:hAnsi="Cambria Math"/>
                        </w:rPr>
                        <m:t>acc</m:t>
                      </m:r>
                      <m:ctrlPr>
                        <w:rPr>
                          <w:rFonts w:ascii="Cambria Math" w:hAnsi="Cambria Math"/>
                          <w:i/>
                        </w:rPr>
                      </m:ctrlPr>
                    </m:sub>
                  </m:sSub>
                  <m:d>
                    <m:dPr>
                      <m:ctrlPr>
                        <w:rPr>
                          <w:rFonts w:ascii="Cambria Math" w:hAnsi="Cambria Math"/>
                          <w:i/>
                        </w:rPr>
                      </m:ctrlPr>
                    </m:dPr>
                    <m:e>
                      <m:r>
                        <m:rPr>
                          <m:sty m:val="p"/>
                        </m:rPr>
                        <w:rPr>
                          <w:rFonts w:ascii="Cambria Math" w:hAnsi="Cambria Math"/>
                        </w:rPr>
                        <m:t>θ</m:t>
                      </m:r>
                      <m:ctrlPr>
                        <w:rPr>
                          <w:rFonts w:ascii="Cambria Math" w:hAnsi="Cambria Math"/>
                          <w:i/>
                        </w:rPr>
                      </m:ctrlPr>
                    </m:e>
                  </m:d>
                  <m:r>
                    <m:rPr/>
                    <w:rPr>
                      <w:rFonts w:ascii="Cambria Math" w:hAnsi="Cambria Math"/>
                    </w:rPr>
                    <m:t>,</m:t>
                  </m:r>
                  <m:sSub>
                    <m:sSubPr>
                      <m:ctrlPr>
                        <w:rPr>
                          <w:rFonts w:ascii="Cambria Math" w:hAnsi="Cambria Math"/>
                          <w:i/>
                        </w:rPr>
                      </m:ctrlPr>
                    </m:sSubPr>
                    <m:e>
                      <m:r>
                        <m:rPr/>
                        <w:rPr>
                          <w:rFonts w:ascii="Cambria Math" w:hAnsi="Cambria Math"/>
                        </w:rPr>
                        <m:t>f</m:t>
                      </m:r>
                      <m:ctrlPr>
                        <w:rPr>
                          <w:rFonts w:ascii="Cambria Math" w:hAnsi="Cambria Math"/>
                          <w:i/>
                        </w:rPr>
                      </m:ctrlPr>
                    </m:e>
                    <m:sub>
                      <m:r>
                        <m:rPr>
                          <m:nor/>
                          <m:sty m:val="p"/>
                        </m:rPr>
                        <w:rPr>
                          <w:rFonts w:ascii="Cambria Math" w:hAnsi="Cambria Math"/>
                        </w:rPr>
                        <m:t>rob</m:t>
                      </m:r>
                      <m:ctrlPr>
                        <w:rPr>
                          <w:rFonts w:ascii="Cambria Math" w:hAnsi="Cambria Math"/>
                          <w:i/>
                        </w:rPr>
                      </m:ctrlPr>
                    </m:sub>
                  </m:sSub>
                  <m:d>
                    <m:dPr>
                      <m:ctrlPr>
                        <w:rPr>
                          <w:rFonts w:ascii="Cambria Math" w:hAnsi="Cambria Math"/>
                          <w:i/>
                        </w:rPr>
                      </m:ctrlPr>
                    </m:dPr>
                    <m:e>
                      <m:r>
                        <m:rPr>
                          <m:sty m:val="p"/>
                        </m:rPr>
                        <w:rPr>
                          <w:rFonts w:ascii="Cambria Math" w:hAnsi="Cambria Math"/>
                        </w:rPr>
                        <m:t>θ</m:t>
                      </m:r>
                      <m:ctrlPr>
                        <w:rPr>
                          <w:rFonts w:ascii="Cambria Math" w:hAnsi="Cambria Math"/>
                          <w:i/>
                        </w:rPr>
                      </m:ctrlPr>
                    </m:e>
                  </m:d>
                  <m:r>
                    <m:rPr/>
                    <w:rPr>
                      <w:rFonts w:ascii="Cambria Math" w:hAnsi="Cambria Math"/>
                    </w:rPr>
                    <m:t>,</m:t>
                  </m:r>
                  <m:sSub>
                    <m:sSubPr>
                      <m:ctrlPr>
                        <w:rPr>
                          <w:rFonts w:ascii="Cambria Math" w:hAnsi="Cambria Math"/>
                          <w:i/>
                        </w:rPr>
                      </m:ctrlPr>
                    </m:sSubPr>
                    <m:e>
                      <m:r>
                        <m:rPr/>
                        <w:rPr>
                          <w:rFonts w:ascii="Cambria Math" w:hAnsi="Cambria Math"/>
                        </w:rPr>
                        <m:t>f</m:t>
                      </m:r>
                      <m:ctrlPr>
                        <w:rPr>
                          <w:rFonts w:ascii="Cambria Math" w:hAnsi="Cambria Math"/>
                          <w:i/>
                        </w:rPr>
                      </m:ctrlPr>
                    </m:e>
                    <m:sub>
                      <m:r>
                        <m:rPr>
                          <m:nor/>
                          <m:sty m:val="p"/>
                        </m:rPr>
                        <w:rPr>
                          <w:rFonts w:ascii="Cambria Math" w:hAnsi="Cambria Math"/>
                        </w:rPr>
                        <m:t>eff</m:t>
                      </m:r>
                      <m:ctrlPr>
                        <w:rPr>
                          <w:rFonts w:ascii="Cambria Math" w:hAnsi="Cambria Math"/>
                          <w:i/>
                        </w:rPr>
                      </m:ctrlPr>
                    </m:sub>
                  </m:sSub>
                  <m:d>
                    <m:dPr>
                      <m:ctrlPr>
                        <w:rPr>
                          <w:rFonts w:ascii="Cambria Math" w:hAnsi="Cambria Math"/>
                          <w:i/>
                        </w:rPr>
                      </m:ctrlPr>
                    </m:dPr>
                    <m:e>
                      <m:r>
                        <m:rPr>
                          <m:sty m:val="p"/>
                        </m:rPr>
                        <w:rPr>
                          <w:rFonts w:ascii="Cambria Math" w:hAnsi="Cambria Math"/>
                        </w:rPr>
                        <m:t>θ</m:t>
                      </m:r>
                      <m:ctrlPr>
                        <w:rPr>
                          <w:rFonts w:ascii="Cambria Math" w:hAnsi="Cambria Math"/>
                          <w:i/>
                        </w:rPr>
                      </m:ctrlPr>
                    </m:e>
                  </m:d>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3.1</m:t>
                  </m:r>
                  <m:ctrlPr>
                    <w:rPr>
                      <w:rFonts w:ascii="Cambria Math" w:hAnsi="Cambria Math"/>
                      <w:i/>
                    </w:rPr>
                  </m:ctrlPr>
                </m:e>
              </m:d>
              <m:ctrlPr>
                <w:rPr>
                  <w:rFonts w:ascii="Cambria Math" w:hAnsi="Cambria Math"/>
                  <w:i/>
                </w:rPr>
              </m:ctrlPr>
            </m:e>
          </m:eqArr>
        </m:oMath>
      </m:oMathPara>
    </w:p>
    <w:p w14:paraId="7F2AB35A">
      <w:r>
        <w:t xml:space="preserve">dengan </w:t>
      </w:r>
      <m:oMath>
        <m:sSub>
          <m:sSubPr>
            <m:ctrlPr>
              <w:rPr>
                <w:rFonts w:ascii="Cambria Math" w:hAnsi="Cambria Math"/>
                <w:i/>
              </w:rPr>
            </m:ctrlPr>
          </m:sSubPr>
          <m:e>
            <m:r>
              <m:rPr/>
              <w:rPr>
                <w:rFonts w:ascii="Cambria Math" w:hAnsi="Cambria Math"/>
              </w:rPr>
              <m:t>f</m:t>
            </m:r>
            <m:ctrlPr>
              <w:rPr>
                <w:rFonts w:ascii="Cambria Math" w:hAnsi="Cambria Math"/>
                <w:i/>
              </w:rPr>
            </m:ctrlPr>
          </m:e>
          <m:sub>
            <m:r>
              <m:rPr>
                <m:nor/>
                <m:sty m:val="p"/>
              </m:rPr>
              <w:rPr>
                <w:rFonts w:ascii="Cambria Math" w:hAnsi="Cambria Math"/>
              </w:rPr>
              <m:t>acc</m:t>
            </m:r>
            <m:ctrlPr>
              <w:rPr>
                <w:rFonts w:ascii="Cambria Math" w:hAnsi="Cambria Math"/>
                <w:i/>
              </w:rPr>
            </m:ctrlPr>
          </m:sub>
        </m:sSub>
      </m:oMath>
      <w:r>
        <w:t xml:space="preserve">​ menyatakan kesalahan prediksi berdasarkan RMSE rata-rata H+1 sampai H+6, f rob ​ menyatakan risiko ketidakstabilan melalui skor </w:t>
      </w:r>
      <w:r>
        <w:rPr>
          <w:i/>
        </w:rPr>
        <w:t>S</w:t>
      </w:r>
      <w:r>
        <w:rPr>
          <w:i/>
          <w:vertAlign w:val="subscript"/>
          <w:lang w:val="en-US"/>
        </w:rPr>
        <w:t>r</w:t>
      </w:r>
      <w:r>
        <w:rPr>
          <w:i/>
          <w:vertAlign w:val="subscript"/>
        </w:rPr>
        <w:t>obust</w:t>
      </w:r>
      <w:r>
        <w:t xml:space="preserve"> ​ , dan </w:t>
      </w:r>
      <m:oMath>
        <m:sSub>
          <m:sSubPr>
            <m:ctrlPr>
              <w:rPr>
                <w:rFonts w:ascii="Cambria Math" w:hAnsi="Cambria Math"/>
                <w:i/>
              </w:rPr>
            </m:ctrlPr>
          </m:sSubPr>
          <m:e>
            <m:r>
              <m:rPr/>
              <w:rPr>
                <w:rFonts w:ascii="Cambria Math" w:hAnsi="Cambria Math"/>
              </w:rPr>
              <m:t>f</m:t>
            </m:r>
            <m:ctrlPr>
              <w:rPr>
                <w:rFonts w:ascii="Cambria Math" w:hAnsi="Cambria Math"/>
                <w:i/>
              </w:rPr>
            </m:ctrlPr>
          </m:e>
          <m:sub>
            <m:r>
              <m:rPr>
                <m:nor/>
                <m:sty m:val="p"/>
              </m:rPr>
              <w:rPr>
                <w:rFonts w:ascii="Cambria Math" w:hAnsi="Cambria Math"/>
              </w:rPr>
              <m:t>eff</m:t>
            </m:r>
            <m:ctrlPr>
              <w:rPr>
                <w:rFonts w:ascii="Cambria Math" w:hAnsi="Cambria Math"/>
                <w:i/>
              </w:rPr>
            </m:ctrlPr>
          </m:sub>
        </m:sSub>
      </m:oMath>
      <w:r>
        <w:t xml:space="preserve">​ menyatakan kompleksitas komputasi berdasarkan FLOPs. Seluruh tujuan diarahkan untuk diminimalkan. Karena ketiga objektif memiliki satuan dan rentang nilai berbeda, masing-masing objektif terlebih dahulu dinormalisasi menggunakan prosedur yang sama seperti pada implementasi program. Dominasi </w:t>
      </w:r>
      <w:r>
        <w:rPr>
          <w:i/>
        </w:rPr>
        <w:t>Pareto</w:t>
      </w:r>
      <w:r>
        <w:t xml:space="preserve"> kemudian digunakan untuk mempertahankan konfigurasi yang tidak didominasi oleh konfigurasi lain di dalam </w:t>
      </w:r>
      <w:r>
        <w:rPr>
          <w:i/>
        </w:rPr>
        <w:t>Pareto archive</w:t>
      </w:r>
      <w:r>
        <w:t xml:space="preserve">. Meskipun evaluasi kandidat dilakukan menggunakan vektor tujuan, kemajuan proses optimasi direpresentasikan dalam bentuk skalar melalui kontribusi </w:t>
      </w:r>
      <w:r>
        <w:rPr>
          <w:i/>
        </w:rPr>
        <w:t>hypervolume</w:t>
      </w:r>
      <w:r>
        <w:t>:</w:t>
      </w:r>
    </w:p>
    <w:p w14:paraId="02376ECC">
      <m:oMathPara>
        <m:oMath>
          <m:eqArr>
            <m:eqArrPr>
              <m:maxDist m:val="1"/>
              <m:ctrlPr>
                <w:rPr>
                  <w:rFonts w:ascii="Cambria Math" w:hAnsi="Cambria Math"/>
                  <w:i/>
                </w:rPr>
              </m:ctrlPr>
            </m:eqArrPr>
            <m:e>
              <m:r>
                <m:rPr>
                  <m:sty m:val="p"/>
                </m:rPr>
                <w:rPr>
                  <w:rFonts w:ascii="Cambria Math" w:hAnsi="Cambria Math"/>
                </w:rPr>
                <m:t>Δ</m:t>
              </m:r>
              <m:r>
                <m:rPr/>
                <w:rPr>
                  <w:rFonts w:ascii="Cambria Math" w:hAnsi="Cambria Math"/>
                </w:rPr>
                <m:t>HV=HV</m:t>
              </m:r>
              <m:d>
                <m:dPr>
                  <m:ctrlPr>
                    <w:rPr>
                      <w:rFonts w:ascii="Cambria Math" w:hAnsi="Cambria Math"/>
                      <w:i/>
                    </w:rPr>
                  </m:ctrlPr>
                </m:dPr>
                <m:e>
                  <m:r>
                    <m:rPr/>
                    <w:rPr>
                      <w:rFonts w:ascii="Cambria Math" w:hAnsi="Cambria Math"/>
                    </w:rPr>
                    <m:t>A</m:t>
                  </m:r>
                  <m:r>
                    <m:rPr>
                      <m:sty m:val="p"/>
                    </m:rPr>
                    <w:rPr>
                      <w:rFonts w:ascii="Cambria Math" w:hAnsi="Cambria Math"/>
                    </w:rPr>
                    <m:t>∪</m:t>
                  </m:r>
                  <m:r>
                    <m:rPr>
                      <m:lit/>
                    </m:rPr>
                    <w:rPr>
                      <w:rFonts w:ascii="Cambria Math" w:hAnsi="Cambria Math"/>
                    </w:rPr>
                    <m:t>{</m:t>
                  </m:r>
                  <m:r>
                    <m:rPr>
                      <m:sty m:val="p"/>
                    </m:rPr>
                    <w:rPr>
                      <w:rFonts w:ascii="Cambria Math" w:hAnsi="Cambria Math"/>
                    </w:rPr>
                    <m:t>F</m:t>
                  </m:r>
                  <m:d>
                    <m:dPr>
                      <m:ctrlPr>
                        <w:rPr>
                          <w:rFonts w:ascii="Cambria Math" w:hAnsi="Cambria Math"/>
                          <w:i/>
                        </w:rPr>
                      </m:ctrlPr>
                    </m:dPr>
                    <m:e>
                      <m:sSup>
                        <m:sSupPr>
                          <m:ctrlPr>
                            <w:rPr>
                              <w:rFonts w:ascii="Cambria Math" w:hAnsi="Cambria Math"/>
                              <w:i/>
                            </w:rPr>
                          </m:ctrlPr>
                        </m:sSupPr>
                        <m:e>
                          <m:r>
                            <m:rPr>
                              <m:sty m:val="p"/>
                            </m:rPr>
                            <w:rPr>
                              <w:rFonts w:ascii="Cambria Math" w:hAnsi="Cambria Math"/>
                            </w:rPr>
                            <m:t>θ</m:t>
                          </m:r>
                          <m:ctrlPr>
                            <w:rPr>
                              <w:rFonts w:ascii="Cambria Math" w:hAnsi="Cambria Math"/>
                              <w:i/>
                            </w:rPr>
                          </m:ctrlPr>
                        </m:e>
                        <m:sup>
                          <m:r>
                            <m:rPr/>
                            <w:rPr>
                              <w:rFonts w:ascii="Cambria Math" w:hAnsi="Cambria Math"/>
                            </w:rPr>
                            <m:t>'</m:t>
                          </m:r>
                          <m:ctrlPr>
                            <w:rPr>
                              <w:rFonts w:ascii="Cambria Math" w:hAnsi="Cambria Math"/>
                              <w:i/>
                            </w:rPr>
                          </m:ctrlPr>
                        </m:sup>
                      </m:sSup>
                      <m:ctrlPr>
                        <w:rPr>
                          <w:rFonts w:ascii="Cambria Math" w:hAnsi="Cambria Math"/>
                          <w:i/>
                        </w:rPr>
                      </m:ctrlPr>
                    </m:e>
                  </m:d>
                  <m:r>
                    <m:rPr>
                      <m:lit/>
                    </m:rPr>
                    <w:rPr>
                      <w:rFonts w:ascii="Cambria Math" w:hAnsi="Cambria Math"/>
                    </w:rPr>
                    <m:t>}</m:t>
                  </m:r>
                  <m:ctrlPr>
                    <w:rPr>
                      <w:rFonts w:ascii="Cambria Math" w:hAnsi="Cambria Math"/>
                      <w:i/>
                    </w:rPr>
                  </m:ctrlPr>
                </m:e>
              </m:d>
              <m:r>
                <m:rPr/>
                <w:rPr>
                  <w:rFonts w:ascii="Cambria Math" w:hAnsi="Cambria Math"/>
                </w:rPr>
                <m:t>−HV</m:t>
              </m:r>
              <m:d>
                <m:dPr>
                  <m:ctrlPr>
                    <w:rPr>
                      <w:rFonts w:ascii="Cambria Math" w:hAnsi="Cambria Math"/>
                      <w:i/>
                    </w:rPr>
                  </m:ctrlPr>
                </m:dPr>
                <m:e>
                  <m:r>
                    <m:rPr/>
                    <w:rPr>
                      <w:rFonts w:ascii="Cambria Math" w:hAnsi="Cambria Math"/>
                    </w:rPr>
                    <m:t>A</m:t>
                  </m:r>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3.2</m:t>
                  </m:r>
                  <m:ctrlPr>
                    <w:rPr>
                      <w:rFonts w:ascii="Cambria Math" w:hAnsi="Cambria Math"/>
                      <w:i/>
                    </w:rPr>
                  </m:ctrlPr>
                </m:e>
              </m:d>
              <m:ctrlPr>
                <w:rPr>
                  <w:rFonts w:ascii="Cambria Math" w:hAnsi="Cambria Math"/>
                  <w:i/>
                </w:rPr>
              </m:ctrlPr>
            </m:e>
          </m:eqArr>
        </m:oMath>
      </m:oMathPara>
    </w:p>
    <w:p w14:paraId="79A58619">
      <w:r>
        <w:t xml:space="preserve">dengan </w:t>
      </w:r>
      <m:oMath>
        <m:r>
          <m:rPr/>
          <w:rPr>
            <w:rFonts w:ascii="Cambria Math" w:hAnsi="Cambria Math"/>
          </w:rPr>
          <m:t>A</m:t>
        </m:r>
      </m:oMath>
      <w:r>
        <w:t xml:space="preserve"> sebagai </w:t>
      </w:r>
      <w:r>
        <w:rPr>
          <w:i/>
        </w:rPr>
        <w:t>Pareto archive</w:t>
      </w:r>
      <w:r>
        <w:t xml:space="preserve"> sebelum kandidat baru </w:t>
      </w:r>
      <w:r>
        <w:rPr>
          <w:i/>
        </w:rPr>
        <w:t>θ</w:t>
      </w:r>
      <w:r>
        <w:t xml:space="preserve">′ dimasukkan. Nilai </w:t>
      </w:r>
      <m:oMath>
        <m:r>
          <m:rPr>
            <m:sty m:val="p"/>
          </m:rPr>
          <w:rPr>
            <w:rFonts w:ascii="Cambria Math" w:hAnsi="Cambria Math"/>
          </w:rPr>
          <m:t>Δ</m:t>
        </m:r>
        <m:r>
          <m:rPr/>
          <w:rPr>
            <w:rFonts w:ascii="Cambria Math" w:hAnsi="Cambria Math"/>
          </w:rPr>
          <m:t>HV</m:t>
        </m:r>
      </m:oMath>
      <w:r>
        <w:t xml:space="preserve"> menunjukkan besarnya perbaikan cakupan solusi </w:t>
      </w:r>
      <w:r>
        <w:rPr>
          <w:i/>
        </w:rPr>
        <w:t>trade-off</w:t>
      </w:r>
      <w:r>
        <w:t xml:space="preserve"> yang dihasilkan kandidat baru. Nilai skalar tersebut digunakan sebagai sinyal keberhasilan operator dalam mekanisme UCB1 dan sebagai indikator perkembangan proses pencarian. Dengan demikian, istilah multiobjektif pada penelitian ini tidak hanya merujuk pada penggunaan beberapa metrik evaluasi, tetapi pada evaluasi simultan tiga tujuan yang dirangkum melalui indikator skalar untuk mendukung pengambilan keputusan algoritma.</w:t>
      </w:r>
    </w:p>
    <w:p w14:paraId="40A201D6">
      <w:pPr>
        <w:pStyle w:val="4"/>
      </w:pPr>
      <w:bookmarkStart w:id="71" w:name="_Toc236076745"/>
      <w:r>
        <w:t xml:space="preserve">3.3.5 Modul </w:t>
      </w:r>
      <w:r>
        <w:rPr>
          <w:i/>
        </w:rPr>
        <w:t>Training</w:t>
      </w:r>
      <w:r>
        <w:t xml:space="preserve"> dan Evaluasi</w:t>
      </w:r>
      <w:bookmarkEnd w:id="71"/>
    </w:p>
    <w:p w14:paraId="222D4AE8">
      <w:pPr>
        <w:ind w:firstLine="720"/>
      </w:pPr>
      <w:r>
        <w:t>Modul ini bertanggung jawab atas dua tahapan krusial dalam siklus penelitian: validasi kemampuan pencarian algoritma optimasi dan evaluasi kinerja model prediktif (</w:t>
      </w:r>
      <w:r>
        <w:rPr>
          <w:i/>
        </w:rPr>
        <w:t>Transformer</w:t>
      </w:r>
      <w:r>
        <w:t>) pada data riil. Implementasi teknis dibagi menjadi beberapa prosedur terintegrasi:</w:t>
      </w:r>
    </w:p>
    <w:p w14:paraId="3E9F69CB">
      <w:pPr>
        <w:pStyle w:val="44"/>
        <w:rPr>
          <w:rFonts w:eastAsia="Times New Roman"/>
        </w:rPr>
      </w:pPr>
      <w:r>
        <w:rPr>
          <w:rFonts w:eastAsia="Times New Roman"/>
          <w:bCs/>
        </w:rPr>
        <w:t>a) Validasi Algoritma Optimasi (</w:t>
      </w:r>
      <w:r>
        <w:rPr>
          <w:rFonts w:eastAsia="Times New Roman"/>
          <w:bCs/>
          <w:i/>
        </w:rPr>
        <w:t>Benchmark Testing</w:t>
      </w:r>
      <w:r>
        <w:rPr>
          <w:rFonts w:eastAsia="Times New Roman"/>
          <w:bCs/>
        </w:rPr>
        <w:t>)</w:t>
      </w:r>
    </w:p>
    <w:p w14:paraId="04AA5D7A">
      <w:pPr>
        <w:pStyle w:val="5"/>
        <w:ind w:firstLine="720"/>
        <w:rPr>
          <w:rFonts w:cs="Times New Roman"/>
        </w:rPr>
      </w:pPr>
      <w:r>
        <w:t>Sebelum diterapkan pada kasus prediksi curah hujan yang kompleks, keandalan algoritma IFPOA-X divalidasi terlebih dahulu menggunakan fungsi uji standar (</w:t>
      </w:r>
      <w:r>
        <w:rPr>
          <w:i/>
          <w:iCs/>
        </w:rPr>
        <w:t>benchmark functions</w:t>
      </w:r>
      <w:r>
        <w:t xml:space="preserve">). Modul ini mengeksekusi pencarian minimum global pada fungsi </w:t>
      </w:r>
      <w:r>
        <w:rPr>
          <w:bCs/>
          <w:i/>
        </w:rPr>
        <w:t>Ackley</w:t>
      </w:r>
      <w:r>
        <w:rPr>
          <w:i/>
        </w:rPr>
        <w:t xml:space="preserve">, </w:t>
      </w:r>
      <w:r>
        <w:rPr>
          <w:bCs/>
          <w:i/>
        </w:rPr>
        <w:t>Rastrigin</w:t>
      </w:r>
      <w:r>
        <w:rPr>
          <w:i/>
        </w:rPr>
        <w:t xml:space="preserve">, </w:t>
      </w:r>
      <w:r>
        <w:t xml:space="preserve">dan </w:t>
      </w:r>
      <w:r>
        <w:rPr>
          <w:bCs/>
          <w:i/>
        </w:rPr>
        <w:t>Rosenbrock</w:t>
      </w:r>
      <w:r>
        <w:t xml:space="preserve">. Hasil validasi ini (nilai </w:t>
      </w:r>
      <w:r>
        <w:rPr>
          <w:i/>
          <w:iCs/>
        </w:rPr>
        <w:t>fitness</w:t>
      </w:r>
      <w:r>
        <w:t xml:space="preserve"> terbaik dan kurva konvergensi) digunakan untuk memverifikasi kemampuan </w:t>
      </w:r>
      <w:r>
        <w:rPr>
          <w:i/>
          <w:iCs/>
        </w:rPr>
        <w:t>exploration</w:t>
      </w:r>
      <w:r>
        <w:t xml:space="preserve"> (melalui OBL) dan </w:t>
      </w:r>
      <w:r>
        <w:rPr>
          <w:i/>
          <w:iCs/>
        </w:rPr>
        <w:t>exploitation</w:t>
      </w:r>
      <w:r>
        <w:t xml:space="preserve"> (melalui JADE) dibandingkan dengan FPA </w:t>
      </w:r>
      <w:r>
        <w:rPr>
          <w:i/>
        </w:rPr>
        <w:t>baseline</w:t>
      </w:r>
      <w:r>
        <w:t>.</w:t>
      </w:r>
      <w:r>
        <w:rPr>
          <w:lang w:val="en-US"/>
        </w:rPr>
        <w:t xml:space="preserve"> </w:t>
      </w:r>
      <w:r>
        <w:rPr>
          <w:rFonts w:cs="Times New Roman"/>
        </w:rPr>
        <w:t xml:space="preserve">Rangkuman parameter pengujian disajikan pada Tabel </w:t>
      </w:r>
      <w:r>
        <w:rPr>
          <w:rFonts w:cs="Times New Roman"/>
          <w:lang w:val="en-US"/>
        </w:rPr>
        <w:t>3. 9</w:t>
      </w:r>
      <w:r>
        <w:rPr>
          <w:rFonts w:cs="Times New Roman"/>
        </w:rPr>
        <w:t>.</w:t>
      </w:r>
    </w:p>
    <w:p w14:paraId="16D0C4CD">
      <w:pPr>
        <w:pStyle w:val="11"/>
        <w:keepNext/>
        <w:jc w:val="center"/>
        <w:rPr>
          <w:b/>
          <w:i w:val="0"/>
          <w:color w:val="auto"/>
          <w:sz w:val="24"/>
        </w:rPr>
      </w:pPr>
      <w:bookmarkStart w:id="72" w:name="_Toc235035449"/>
      <w:r>
        <w:rPr>
          <w:b/>
          <w:i w:val="0"/>
          <w:color w:val="auto"/>
          <w:sz w:val="24"/>
        </w:rPr>
        <w:t xml:space="preserve">Tabel 3. </w:t>
      </w:r>
      <w:r>
        <w:rPr>
          <w:b/>
          <w:i w:val="0"/>
          <w:color w:val="auto"/>
          <w:sz w:val="24"/>
        </w:rPr>
        <w:fldChar w:fldCharType="begin"/>
      </w:r>
      <w:r>
        <w:rPr>
          <w:b/>
          <w:i w:val="0"/>
          <w:color w:val="auto"/>
          <w:sz w:val="24"/>
        </w:rPr>
        <w:instrText xml:space="preserve"> SEQ Tabel_3._ \* ARABIC </w:instrText>
      </w:r>
      <w:r>
        <w:rPr>
          <w:b/>
          <w:i w:val="0"/>
          <w:color w:val="auto"/>
          <w:sz w:val="24"/>
        </w:rPr>
        <w:fldChar w:fldCharType="separate"/>
      </w:r>
      <w:r>
        <w:rPr>
          <w:b/>
          <w:i w:val="0"/>
          <w:color w:val="auto"/>
          <w:sz w:val="24"/>
        </w:rPr>
        <w:t>9</w:t>
      </w:r>
      <w:r>
        <w:rPr>
          <w:b/>
          <w:i w:val="0"/>
          <w:color w:val="auto"/>
          <w:sz w:val="24"/>
        </w:rPr>
        <w:fldChar w:fldCharType="end"/>
      </w:r>
      <w:r>
        <w:rPr>
          <w:b/>
          <w:i w:val="0"/>
          <w:color w:val="auto"/>
          <w:sz w:val="24"/>
          <w:lang w:val="en-US"/>
        </w:rPr>
        <w:t xml:space="preserve"> Parameter Pengujian Algoritma</w:t>
      </w:r>
      <w:bookmarkEnd w:id="72"/>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076"/>
      </w:tblGrid>
      <w:tr w14:paraId="26247396">
        <w:tblPrEx>
          <w:tblCellMar>
            <w:top w:w="0" w:type="dxa"/>
            <w:left w:w="108" w:type="dxa"/>
            <w:bottom w:w="0" w:type="dxa"/>
            <w:right w:w="108" w:type="dxa"/>
          </w:tblCellMar>
        </w:tblPrEx>
        <w:trPr>
          <w:tblHeader/>
        </w:trPr>
        <w:tc>
          <w:tcPr>
            <w:tcW w:w="3969" w:type="dxa"/>
            <w:vAlign w:val="center"/>
          </w:tcPr>
          <w:p w14:paraId="621A97C8">
            <w:pPr>
              <w:pStyle w:val="66"/>
              <w:jc w:val="center"/>
              <w:rPr>
                <w:rFonts w:cs="Times New Roman"/>
                <w:b/>
                <w:bCs/>
              </w:rPr>
            </w:pPr>
            <w:r>
              <w:rPr>
                <w:rFonts w:cs="Times New Roman"/>
                <w:b/>
                <w:bCs/>
              </w:rPr>
              <w:t>Parameter</w:t>
            </w:r>
          </w:p>
        </w:tc>
        <w:tc>
          <w:tcPr>
            <w:tcW w:w="3968" w:type="dxa"/>
            <w:vAlign w:val="center"/>
          </w:tcPr>
          <w:p w14:paraId="313DAD0C">
            <w:pPr>
              <w:pStyle w:val="66"/>
              <w:jc w:val="center"/>
              <w:rPr>
                <w:rFonts w:cs="Times New Roman"/>
                <w:b/>
                <w:bCs/>
              </w:rPr>
            </w:pPr>
            <w:r>
              <w:rPr>
                <w:rFonts w:cs="Times New Roman"/>
                <w:b/>
                <w:bCs/>
              </w:rPr>
              <w:t>Nilai</w:t>
            </w:r>
          </w:p>
        </w:tc>
      </w:tr>
      <w:tr w14:paraId="5418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5F730D3E">
            <w:pPr>
              <w:pStyle w:val="66"/>
              <w:jc w:val="center"/>
              <w:rPr>
                <w:rFonts w:cs="Times New Roman"/>
              </w:rPr>
            </w:pPr>
            <w:r>
              <w:rPr>
                <w:rFonts w:cs="Times New Roman"/>
              </w:rPr>
              <w:t>Fungsi uji</w:t>
            </w:r>
          </w:p>
        </w:tc>
        <w:tc>
          <w:tcPr>
            <w:tcW w:w="3968" w:type="dxa"/>
            <w:vAlign w:val="center"/>
          </w:tcPr>
          <w:p w14:paraId="5BCFF5DD">
            <w:pPr>
              <w:pStyle w:val="66"/>
              <w:jc w:val="center"/>
              <w:rPr>
                <w:rFonts w:cs="Times New Roman"/>
                <w:i/>
              </w:rPr>
            </w:pPr>
            <w:r>
              <w:rPr>
                <w:rFonts w:cs="Times New Roman"/>
                <w:i/>
              </w:rPr>
              <w:t>Ackley, Rastrigin (multimodal); Rosenbrock (unimodal)</w:t>
            </w:r>
          </w:p>
        </w:tc>
      </w:tr>
      <w:tr w14:paraId="40AB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37CB4624">
            <w:pPr>
              <w:pStyle w:val="66"/>
              <w:jc w:val="center"/>
              <w:rPr>
                <w:rFonts w:cs="Times New Roman"/>
              </w:rPr>
            </w:pPr>
            <w:r>
              <w:rPr>
                <w:rFonts w:cs="Times New Roman"/>
              </w:rPr>
              <w:t>Dimensi masalah (D)</w:t>
            </w:r>
          </w:p>
        </w:tc>
        <w:tc>
          <w:tcPr>
            <w:tcW w:w="3968" w:type="dxa"/>
            <w:vAlign w:val="center"/>
          </w:tcPr>
          <w:p w14:paraId="0C4EA8BA">
            <w:pPr>
              <w:pStyle w:val="66"/>
              <w:jc w:val="center"/>
              <w:rPr>
                <w:rFonts w:cs="Times New Roman"/>
              </w:rPr>
            </w:pPr>
            <w:r>
              <w:rPr>
                <w:rFonts w:cs="Times New Roman"/>
              </w:rPr>
              <w:t>50</w:t>
            </w:r>
          </w:p>
        </w:tc>
      </w:tr>
      <w:tr w14:paraId="7BD2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1031A683">
            <w:pPr>
              <w:pStyle w:val="66"/>
              <w:jc w:val="center"/>
              <w:rPr>
                <w:rFonts w:cs="Times New Roman"/>
              </w:rPr>
            </w:pPr>
            <w:r>
              <w:rPr>
                <w:rFonts w:cs="Times New Roman"/>
              </w:rPr>
              <w:t>Anggaran evaluasi (NFE)</w:t>
            </w:r>
          </w:p>
        </w:tc>
        <w:tc>
          <w:tcPr>
            <w:tcW w:w="3968" w:type="dxa"/>
            <w:vAlign w:val="center"/>
          </w:tcPr>
          <w:p w14:paraId="5BCDA8D5">
            <w:pPr>
              <w:pStyle w:val="66"/>
              <w:jc w:val="center"/>
              <w:rPr>
                <w:rFonts w:cs="Times New Roman"/>
              </w:rPr>
            </w:pPr>
            <w:r>
              <w:rPr>
                <w:rFonts w:cs="Times New Roman"/>
              </w:rPr>
              <w:t>500 evaluasi objektif nyata per algoritma</w:t>
            </w:r>
          </w:p>
        </w:tc>
      </w:tr>
      <w:tr w14:paraId="50D8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6589FBCD">
            <w:pPr>
              <w:pStyle w:val="66"/>
              <w:jc w:val="center"/>
              <w:rPr>
                <w:rFonts w:cs="Times New Roman"/>
              </w:rPr>
            </w:pPr>
            <w:r>
              <w:rPr>
                <w:rFonts w:cs="Times New Roman"/>
              </w:rPr>
              <w:t>Ukuran populasi</w:t>
            </w:r>
          </w:p>
        </w:tc>
        <w:tc>
          <w:tcPr>
            <w:tcW w:w="3968" w:type="dxa"/>
            <w:vAlign w:val="center"/>
          </w:tcPr>
          <w:p w14:paraId="798DD2B1">
            <w:pPr>
              <w:pStyle w:val="66"/>
              <w:jc w:val="center"/>
              <w:rPr>
                <w:rFonts w:cs="Times New Roman"/>
              </w:rPr>
            </w:pPr>
            <w:r>
              <w:rPr>
                <w:rFonts w:cs="Times New Roman"/>
              </w:rPr>
              <w:t>24</w:t>
            </w:r>
          </w:p>
        </w:tc>
      </w:tr>
      <w:tr w14:paraId="1626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28595B79">
            <w:pPr>
              <w:pStyle w:val="66"/>
              <w:jc w:val="center"/>
              <w:rPr>
                <w:rFonts w:cs="Times New Roman"/>
              </w:rPr>
            </w:pPr>
            <w:r>
              <w:rPr>
                <w:rFonts w:cs="Times New Roman"/>
              </w:rPr>
              <w:t>Jumlah run independen</w:t>
            </w:r>
          </w:p>
        </w:tc>
        <w:tc>
          <w:tcPr>
            <w:tcW w:w="3968" w:type="dxa"/>
            <w:vAlign w:val="center"/>
          </w:tcPr>
          <w:p w14:paraId="0716F0F3">
            <w:pPr>
              <w:pStyle w:val="66"/>
              <w:jc w:val="center"/>
              <w:rPr>
                <w:rFonts w:cs="Times New Roman"/>
              </w:rPr>
            </w:pPr>
            <w:r>
              <w:rPr>
                <w:rFonts w:cs="Times New Roman"/>
              </w:rPr>
              <w:t>20 (seed dapat direproduksi)</w:t>
            </w:r>
          </w:p>
        </w:tc>
      </w:tr>
      <w:tr w14:paraId="2039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5733EEC4">
            <w:pPr>
              <w:pStyle w:val="66"/>
              <w:jc w:val="center"/>
              <w:rPr>
                <w:rFonts w:cs="Times New Roman"/>
              </w:rPr>
            </w:pPr>
            <w:r>
              <w:rPr>
                <w:rFonts w:cs="Times New Roman"/>
              </w:rPr>
              <w:t>Algoritma pembanding</w:t>
            </w:r>
          </w:p>
        </w:tc>
        <w:tc>
          <w:tcPr>
            <w:tcW w:w="3968" w:type="dxa"/>
            <w:vAlign w:val="center"/>
          </w:tcPr>
          <w:p w14:paraId="7E5BBBA0">
            <w:pPr>
              <w:pStyle w:val="66"/>
              <w:jc w:val="center"/>
              <w:rPr>
                <w:rFonts w:cs="Times New Roman"/>
              </w:rPr>
            </w:pPr>
            <w:r>
              <w:rPr>
                <w:rFonts w:cs="Times New Roman"/>
              </w:rPr>
              <w:t>IFPOA-X (usulan), FPA, PSO</w:t>
            </w:r>
          </w:p>
        </w:tc>
      </w:tr>
      <w:tr w14:paraId="5195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6A76994A">
            <w:pPr>
              <w:pStyle w:val="66"/>
              <w:jc w:val="center"/>
              <w:rPr>
                <w:rFonts w:cs="Times New Roman"/>
              </w:rPr>
            </w:pPr>
            <w:r>
              <w:rPr>
                <w:rFonts w:cs="Times New Roman"/>
              </w:rPr>
              <w:t>Domain pencarian</w:t>
            </w:r>
          </w:p>
        </w:tc>
        <w:tc>
          <w:tcPr>
            <w:tcW w:w="3968" w:type="dxa"/>
            <w:vAlign w:val="center"/>
          </w:tcPr>
          <w:p w14:paraId="62E3A09F">
            <w:pPr>
              <w:pStyle w:val="66"/>
              <w:jc w:val="center"/>
              <w:rPr>
                <w:rFonts w:cs="Times New Roman"/>
              </w:rPr>
            </w:pPr>
            <w:r>
              <w:rPr>
                <w:rFonts w:cs="Times New Roman"/>
              </w:rPr>
              <w:t xml:space="preserve">Ackley </w:t>
            </w:r>
            <m:oMath>
              <m:r>
                <m:rPr>
                  <m:nor/>
                  <m:sty m:val="p"/>
                </m:rPr>
                <w:rPr>
                  <w:rFonts w:cs="Times New Roman"/>
                </w:rPr>
                <m:t>[-32,32</m:t>
              </m:r>
              <m:sSup>
                <m:sSupPr>
                  <m:ctrlPr>
                    <w:rPr>
                      <w:rFonts w:ascii="Cambria Math" w:hAnsi="Cambria Math" w:cs="Times New Roman"/>
                    </w:rPr>
                  </m:ctrlPr>
                </m:sSupPr>
                <m:e>
                  <m:r>
                    <m:rPr>
                      <m:nor/>
                      <m:sty m:val="p"/>
                    </m:rPr>
                    <w:rPr>
                      <w:rFonts w:cs="Times New Roman"/>
                    </w:rPr>
                    <m:t>]</m:t>
                  </m:r>
                  <m:ctrlPr>
                    <w:rPr>
                      <w:rFonts w:ascii="Cambria Math" w:hAnsi="Cambria Math" w:cs="Times New Roman"/>
                    </w:rPr>
                  </m:ctrlPr>
                </m:e>
                <m:sup>
                  <m:r>
                    <m:rPr>
                      <m:nor/>
                    </m:rPr>
                    <w:rPr>
                      <w:rFonts w:cs="Times New Roman"/>
                      <w:i/>
                    </w:rPr>
                    <m:t>D</m:t>
                  </m:r>
                  <m:ctrlPr>
                    <w:rPr>
                      <w:rFonts w:ascii="Cambria Math" w:hAnsi="Cambria Math" w:cs="Times New Roman"/>
                    </w:rPr>
                  </m:ctrlPr>
                </m:sup>
              </m:sSup>
            </m:oMath>
            <w:r>
              <w:rPr>
                <w:rFonts w:cs="Times New Roman"/>
              </w:rPr>
              <w:t xml:space="preserve">; Rastrigin </w:t>
            </w:r>
            <m:oMath>
              <m:r>
                <m:rPr>
                  <m:nor/>
                  <m:sty m:val="p"/>
                </m:rPr>
                <w:rPr>
                  <w:rFonts w:cs="Times New Roman"/>
                </w:rPr>
                <m:t>[-5.12,5.12</m:t>
              </m:r>
              <m:sSup>
                <m:sSupPr>
                  <m:ctrlPr>
                    <w:rPr>
                      <w:rFonts w:ascii="Cambria Math" w:hAnsi="Cambria Math" w:cs="Times New Roman"/>
                    </w:rPr>
                  </m:ctrlPr>
                </m:sSupPr>
                <m:e>
                  <m:r>
                    <m:rPr>
                      <m:nor/>
                      <m:sty m:val="p"/>
                    </m:rPr>
                    <w:rPr>
                      <w:rFonts w:cs="Times New Roman"/>
                    </w:rPr>
                    <m:t>]</m:t>
                  </m:r>
                  <m:ctrlPr>
                    <w:rPr>
                      <w:rFonts w:ascii="Cambria Math" w:hAnsi="Cambria Math" w:cs="Times New Roman"/>
                    </w:rPr>
                  </m:ctrlPr>
                </m:e>
                <m:sup>
                  <m:r>
                    <m:rPr>
                      <m:nor/>
                    </m:rPr>
                    <w:rPr>
                      <w:rFonts w:cs="Times New Roman"/>
                      <w:i/>
                    </w:rPr>
                    <m:t>D</m:t>
                  </m:r>
                  <m:ctrlPr>
                    <w:rPr>
                      <w:rFonts w:ascii="Cambria Math" w:hAnsi="Cambria Math" w:cs="Times New Roman"/>
                    </w:rPr>
                  </m:ctrlPr>
                </m:sup>
              </m:sSup>
            </m:oMath>
            <w:r>
              <w:rPr>
                <w:rFonts w:cs="Times New Roman"/>
              </w:rPr>
              <w:t xml:space="preserve">; Rosenbrock </w:t>
            </w:r>
            <m:oMath>
              <m:r>
                <m:rPr>
                  <m:nor/>
                  <m:sty m:val="p"/>
                </m:rPr>
                <w:rPr>
                  <w:rFonts w:cs="Times New Roman"/>
                </w:rPr>
                <m:t>[-30,30</m:t>
              </m:r>
              <m:sSup>
                <m:sSupPr>
                  <m:ctrlPr>
                    <w:rPr>
                      <w:rFonts w:ascii="Cambria Math" w:hAnsi="Cambria Math" w:cs="Times New Roman"/>
                    </w:rPr>
                  </m:ctrlPr>
                </m:sSupPr>
                <m:e>
                  <m:r>
                    <m:rPr>
                      <m:nor/>
                      <m:sty m:val="p"/>
                    </m:rPr>
                    <w:rPr>
                      <w:rFonts w:cs="Times New Roman"/>
                    </w:rPr>
                    <m:t>]</m:t>
                  </m:r>
                  <m:ctrlPr>
                    <w:rPr>
                      <w:rFonts w:ascii="Cambria Math" w:hAnsi="Cambria Math" w:cs="Times New Roman"/>
                    </w:rPr>
                  </m:ctrlPr>
                </m:e>
                <m:sup>
                  <m:r>
                    <m:rPr>
                      <m:nor/>
                    </m:rPr>
                    <w:rPr>
                      <w:rFonts w:cs="Times New Roman"/>
                      <w:i/>
                    </w:rPr>
                    <m:t>D</m:t>
                  </m:r>
                  <m:ctrlPr>
                    <w:rPr>
                      <w:rFonts w:ascii="Cambria Math" w:hAnsi="Cambria Math" w:cs="Times New Roman"/>
                    </w:rPr>
                  </m:ctrlPr>
                </m:sup>
              </m:sSup>
            </m:oMath>
          </w:p>
        </w:tc>
      </w:tr>
      <w:tr w14:paraId="1E0F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7AF79EDF">
            <w:pPr>
              <w:pStyle w:val="66"/>
              <w:jc w:val="center"/>
              <w:rPr>
                <w:rFonts w:cs="Times New Roman"/>
              </w:rPr>
            </w:pPr>
            <w:r>
              <w:rPr>
                <w:rFonts w:cs="Times New Roman"/>
              </w:rPr>
              <w:t>Minimum global</w:t>
            </w:r>
          </w:p>
        </w:tc>
        <w:tc>
          <w:tcPr>
            <w:tcW w:w="3968" w:type="dxa"/>
            <w:vAlign w:val="center"/>
          </w:tcPr>
          <w:p w14:paraId="0896D903">
            <w:pPr>
              <w:pStyle w:val="66"/>
              <w:jc w:val="center"/>
              <w:rPr>
                <w:rFonts w:cs="Times New Roman"/>
              </w:rPr>
            </w:pPr>
            <m:oMath>
              <m:r>
                <m:rPr>
                  <m:nor/>
                </m:rPr>
                <w:rPr>
                  <w:rFonts w:cs="Times New Roman"/>
                  <w:i/>
                </w:rPr>
                <m:t>f</m:t>
              </m:r>
              <m:r>
                <m:rPr>
                  <m:nor/>
                  <m:sty m:val="p"/>
                </m:rPr>
                <w:rPr>
                  <w:rFonts w:cs="Times New Roman"/>
                </w:rPr>
                <m:t>(</m:t>
              </m:r>
              <m:sSup>
                <m:sSupPr>
                  <m:ctrlPr>
                    <w:rPr>
                      <w:rFonts w:ascii="Cambria Math" w:hAnsi="Cambria Math" w:cs="Times New Roman"/>
                    </w:rPr>
                  </m:ctrlPr>
                </m:sSupPr>
                <m:e>
                  <m:r>
                    <m:rPr>
                      <m:nor/>
                    </m:rPr>
                    <w:rPr>
                      <w:rFonts w:cs="Times New Roman"/>
                      <w:i/>
                    </w:rPr>
                    <m:t>x</m:t>
                  </m:r>
                  <m:ctrlPr>
                    <w:rPr>
                      <w:rFonts w:ascii="Cambria Math" w:hAnsi="Cambria Math" w:cs="Times New Roman"/>
                    </w:rPr>
                  </m:ctrlPr>
                </m:e>
                <m:sup>
                  <m:r>
                    <m:rPr>
                      <m:nor/>
                      <m:sty m:val="p"/>
                    </m:rPr>
                    <w:rPr>
                      <w:rFonts w:ascii="Cambria Math" w:hAnsi="Cambria Math" w:cs="Cambria Math"/>
                    </w:rPr>
                    <m:t>*</m:t>
                  </m:r>
                  <m:ctrlPr>
                    <w:rPr>
                      <w:rFonts w:ascii="Cambria Math" w:hAnsi="Cambria Math" w:cs="Times New Roman"/>
                    </w:rPr>
                  </m:ctrlPr>
                </m:sup>
              </m:sSup>
              <m:r>
                <m:rPr>
                  <m:nor/>
                  <m:sty m:val="p"/>
                </m:rPr>
                <w:rPr>
                  <w:rFonts w:cs="Times New Roman"/>
                </w:rPr>
                <m:t>)=0</m:t>
              </m:r>
            </m:oMath>
            <w:r>
              <w:rPr>
                <w:rFonts w:cs="Times New Roman"/>
              </w:rPr>
              <w:t xml:space="preserve"> (ketiga fungsi)</w:t>
            </w:r>
          </w:p>
        </w:tc>
      </w:tr>
      <w:tr w14:paraId="70A6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645B508E">
            <w:pPr>
              <w:pStyle w:val="66"/>
              <w:jc w:val="center"/>
              <w:rPr>
                <w:rFonts w:cs="Times New Roman"/>
              </w:rPr>
            </w:pPr>
            <w:r>
              <w:rPr>
                <w:rFonts w:cs="Times New Roman"/>
              </w:rPr>
              <w:t>Konfigurasi IFPOA-X</w:t>
            </w:r>
          </w:p>
        </w:tc>
        <w:tc>
          <w:tcPr>
            <w:tcW w:w="3968" w:type="dxa"/>
            <w:vAlign w:val="center"/>
          </w:tcPr>
          <w:p w14:paraId="1E2E48A8">
            <w:pPr>
              <w:pStyle w:val="66"/>
              <w:jc w:val="center"/>
              <w:rPr>
                <w:rFonts w:cs="Times New Roman"/>
              </w:rPr>
            </w:pPr>
            <w:r>
              <w:rPr>
                <w:rFonts w:cs="Times New Roman"/>
              </w:rPr>
              <w:t>Lengkap (OBL + JADE + bandit UCB1)</w:t>
            </w:r>
          </w:p>
        </w:tc>
      </w:tr>
    </w:tbl>
    <w:p w14:paraId="2D2E0E90"/>
    <w:p w14:paraId="5AF179A9">
      <w:pPr>
        <w:pStyle w:val="44"/>
        <w:rPr>
          <w:rFonts w:eastAsia="Times New Roman"/>
        </w:rPr>
      </w:pPr>
      <w:r>
        <w:rPr>
          <w:rFonts w:eastAsia="Times New Roman"/>
          <w:bCs/>
        </w:rPr>
        <w:t>b) Pelatihan Model dan Integrasi HPO</w:t>
      </w:r>
    </w:p>
    <w:p w14:paraId="7CD52FF1">
      <w:pPr>
        <w:ind w:firstLine="720"/>
      </w:pPr>
      <w:r>
        <w:t xml:space="preserve">Proses pelatihan model utama terintegrasi langsung dengan luaran modul HPO. Sistem secara otomatis memuat konfigurasi </w:t>
      </w:r>
      <w:r>
        <w:rPr>
          <w:i/>
          <w:iCs/>
        </w:rPr>
        <w:t>hyperparameter</w:t>
      </w:r>
      <w:r>
        <w:t xml:space="preserve"> optimal yang telah ditemukan oleh IFPOA-X (berdasarkan nilai objektif</w:t>
      </w:r>
      <w:r>
        <w:rPr>
          <w:lang w:val="en-US"/>
        </w:rPr>
        <w:t xml:space="preserve"> </w:t>
      </w:r>
      <w:r>
        <w:rPr>
          <w:i/>
          <w:lang w:val="en-US"/>
        </w:rPr>
        <w:t>robustness</w:t>
      </w:r>
      <w:r>
        <w:t xml:space="preserve"> minimum) maupun konfigurasi dari </w:t>
      </w:r>
      <w:r>
        <w:rPr>
          <w:i/>
          <w:iCs/>
        </w:rPr>
        <w:t>baseline</w:t>
      </w:r>
      <w:r>
        <w:t>. Model kemudian dilatih ulang (</w:t>
      </w:r>
      <w:r>
        <w:rPr>
          <w:i/>
          <w:iCs/>
        </w:rPr>
        <w:t>retraining</w:t>
      </w:r>
      <w:r>
        <w:t xml:space="preserve">) secara penuh menggunakan set data latih dan validasi untuk menghasilkan bobot model final yang disimpan dalam format </w:t>
      </w:r>
      <w:r>
        <w:rPr>
          <w:i/>
          <w:iCs/>
        </w:rPr>
        <w:t>checkpoint</w:t>
      </w:r>
      <w:r>
        <w:t>.</w:t>
      </w:r>
    </w:p>
    <w:p w14:paraId="199D31CE">
      <w:r>
        <w:rPr>
          <w:b/>
          <w:bCs/>
        </w:rPr>
        <w:t>C. Evaluasi Kinerja Model Prediktif</w:t>
      </w:r>
    </w:p>
    <w:p w14:paraId="3E8C6C0D">
      <w:pPr>
        <w:ind w:firstLine="720"/>
        <w:rPr>
          <w:bCs/>
          <w:lang w:val="en-US"/>
        </w:rPr>
      </w:pPr>
      <w:r>
        <w:t xml:space="preserve">Evaluasi dilakukan </w:t>
      </w:r>
      <w:r>
        <w:rPr>
          <w:lang w:val="en-US"/>
        </w:rPr>
        <w:t>dengan</w:t>
      </w:r>
      <w:r>
        <w:t xml:space="preserve"> merekonstruksi model dari </w:t>
      </w:r>
      <w:r>
        <w:rPr>
          <w:i/>
          <w:iCs/>
        </w:rPr>
        <w:t>checkpoint</w:t>
      </w:r>
      <w:r>
        <w:t xml:space="preserve"> terbaik untuk melakukan inferensi pada data uji (</w:t>
      </w:r>
      <w:r>
        <w:rPr>
          <w:i/>
          <w:iCs/>
        </w:rPr>
        <w:t>unseen data</w:t>
      </w:r>
      <w:r>
        <w:t xml:space="preserve">). Penilaian performa dilakukan secara komprehensif menggunakan </w:t>
      </w:r>
      <w:r>
        <w:rPr>
          <w:lang w:val="en-US"/>
        </w:rPr>
        <w:t>4</w:t>
      </w:r>
      <w:r>
        <w:t xml:space="preserve"> kategori metrik</w:t>
      </w:r>
      <w:r>
        <w:rPr>
          <w:lang w:val="en-US"/>
        </w:rPr>
        <w:t xml:space="preserve">, yakni </w:t>
      </w:r>
      <w:r>
        <w:rPr>
          <w:bCs/>
        </w:rPr>
        <w:t>Metrik Akurasi Standar</w:t>
      </w:r>
      <w:r>
        <w:rPr>
          <w:bCs/>
          <w:lang w:val="en-US"/>
        </w:rPr>
        <w:t xml:space="preserve"> (</w:t>
      </w:r>
      <w:r>
        <w:rPr>
          <w:bCs/>
        </w:rPr>
        <w:t>RMSE, MAE, dan R</w:t>
      </w:r>
      <w:r>
        <w:rPr>
          <w:bCs/>
          <w:vertAlign w:val="superscript"/>
        </w:rPr>
        <w:t>2</w:t>
      </w:r>
      <w:r>
        <w:rPr>
          <w:bCs/>
          <w:lang w:val="en-US"/>
        </w:rPr>
        <w:t>), m</w:t>
      </w:r>
      <w:r>
        <w:rPr>
          <w:bCs/>
        </w:rPr>
        <w:t>etrik Ketahanan (</w:t>
      </w:r>
      <w:r>
        <w:rPr>
          <w:bCs/>
          <w:i/>
          <w:lang w:val="en-US"/>
        </w:rPr>
        <w:t>r</w:t>
      </w:r>
      <w:r>
        <w:rPr>
          <w:bCs/>
          <w:i/>
        </w:rPr>
        <w:t>obustness</w:t>
      </w:r>
      <w:r>
        <w:rPr>
          <w:bCs/>
        </w:rPr>
        <w:t>)</w:t>
      </w:r>
      <w:r>
        <w:rPr>
          <w:bCs/>
          <w:lang w:val="en-US"/>
        </w:rPr>
        <w:t xml:space="preserve"> (</w:t>
      </w:r>
      <w:r>
        <w:rPr>
          <w:bCs/>
        </w:rPr>
        <w:t>CVaR95, Worst-k% Error</w:t>
      </w:r>
      <w:r>
        <w:rPr>
          <w:bCs/>
          <w:lang w:val="en-US"/>
        </w:rPr>
        <w:t>), dan u</w:t>
      </w:r>
      <w:r>
        <w:rPr>
          <w:bCs/>
        </w:rPr>
        <w:t xml:space="preserve">ji </w:t>
      </w:r>
      <w:r>
        <w:rPr>
          <w:bCs/>
          <w:lang w:val="en-US"/>
        </w:rPr>
        <w:t>v</w:t>
      </w:r>
      <w:r>
        <w:rPr>
          <w:bCs/>
        </w:rPr>
        <w:t xml:space="preserve">alidasi </w:t>
      </w:r>
      <w:r>
        <w:rPr>
          <w:bCs/>
          <w:lang w:val="en-US"/>
        </w:rPr>
        <w:t>s</w:t>
      </w:r>
      <w:r>
        <w:rPr>
          <w:bCs/>
        </w:rPr>
        <w:t>tatistik</w:t>
      </w:r>
      <w:r>
        <w:rPr>
          <w:bCs/>
          <w:lang w:val="en-US"/>
        </w:rPr>
        <w:t xml:space="preserve"> (</w:t>
      </w:r>
      <w:r>
        <w:rPr>
          <w:bCs/>
          <w:i/>
          <w:lang w:val="en-US"/>
        </w:rPr>
        <w:t>F</w:t>
      </w:r>
      <w:r>
        <w:rPr>
          <w:bCs/>
          <w:i/>
        </w:rPr>
        <w:t>riedman Test</w:t>
      </w:r>
      <w:r>
        <w:rPr>
          <w:bCs/>
          <w:lang w:val="en-US"/>
        </w:rPr>
        <w:t>).</w:t>
      </w:r>
    </w:p>
    <w:p w14:paraId="2C19FBC0">
      <w:pPr>
        <w:pStyle w:val="4"/>
      </w:pPr>
      <w:bookmarkStart w:id="73" w:name="_Toc236076746"/>
      <w:r>
        <w:t xml:space="preserve">3.3.6 Modul </w:t>
      </w:r>
      <w:r>
        <w:rPr>
          <w:i/>
        </w:rPr>
        <w:t>Transfer Learning</w:t>
      </w:r>
      <w:bookmarkEnd w:id="73"/>
    </w:p>
    <w:p w14:paraId="7BDBC419">
      <w:pPr>
        <w:spacing w:after="0"/>
        <w:ind w:firstLine="720"/>
        <w:rPr>
          <w:lang w:val="en-US"/>
        </w:rPr>
      </w:pPr>
      <w:r>
        <w:t>Modul ini memungkinkan adaptasi model Transformer yang telah dilatih pada lokasi sumber ke lokasi target  tanpa pelatihan dari awal. Proses</w:t>
      </w:r>
      <w:r>
        <w:rPr>
          <w:lang w:val="en-US"/>
        </w:rPr>
        <w:t xml:space="preserve"> </w:t>
      </w:r>
      <w:r>
        <w:t xml:space="preserve">mencakup pemuatan </w:t>
      </w:r>
      <w:r>
        <w:rPr>
          <w:i/>
        </w:rPr>
        <w:t>checkpoint</w:t>
      </w:r>
      <w:r>
        <w:t>, pembekuan parameter, hingga evaluasi</w:t>
      </w:r>
      <w:r>
        <w:rPr>
          <w:lang w:val="en-US"/>
        </w:rPr>
        <w:t>.</w:t>
      </w:r>
    </w:p>
    <w:p w14:paraId="38FEDAA2">
      <w:pPr>
        <w:spacing w:after="0"/>
        <w:ind w:hanging="142"/>
        <w:jc w:val="center"/>
      </w:pPr>
      <w:r>
        <w:rPr>
          <w:lang w:val="en-US"/>
        </w:rPr>
        <w:drawing>
          <wp:inline distT="0" distB="0" distL="0" distR="0">
            <wp:extent cx="4038600" cy="3637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063819" cy="3661100"/>
                    </a:xfrm>
                    <a:prstGeom prst="rect">
                      <a:avLst/>
                    </a:prstGeom>
                  </pic:spPr>
                </pic:pic>
              </a:graphicData>
            </a:graphic>
          </wp:inline>
        </w:drawing>
      </w:r>
    </w:p>
    <w:p w14:paraId="241653E4">
      <w:pPr>
        <w:pStyle w:val="11"/>
        <w:keepNext/>
        <w:jc w:val="center"/>
        <w:rPr>
          <w:b/>
          <w:i w:val="0"/>
          <w:color w:val="auto"/>
          <w:sz w:val="24"/>
        </w:rPr>
      </w:pPr>
      <w:bookmarkStart w:id="74" w:name="_Toc236077409"/>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14</w:t>
      </w:r>
      <w:r>
        <w:rPr>
          <w:b/>
          <w:i w:val="0"/>
          <w:color w:val="auto"/>
          <w:sz w:val="24"/>
        </w:rPr>
        <w:fldChar w:fldCharType="end"/>
      </w:r>
      <w:r>
        <w:rPr>
          <w:b/>
          <w:i w:val="0"/>
          <w:color w:val="auto"/>
          <w:sz w:val="24"/>
        </w:rPr>
        <w:t xml:space="preserve"> Tiga Skema </w:t>
      </w:r>
      <w:r>
        <w:rPr>
          <w:b/>
          <w:color w:val="auto"/>
          <w:sz w:val="24"/>
        </w:rPr>
        <w:t>Transfer Learning</w:t>
      </w:r>
      <w:bookmarkEnd w:id="74"/>
    </w:p>
    <w:p w14:paraId="079D1FE8">
      <w:pPr>
        <w:spacing w:after="0"/>
      </w:pPr>
      <w:r>
        <w:rPr>
          <w:lang w:val="en-US"/>
        </w:rPr>
        <w:t>Sebagaimana di Gambar 3. 14, mo</w:t>
      </w:r>
      <w:r>
        <w:t>dul ini menerapkan tiga mode adaptasi:</w:t>
      </w:r>
    </w:p>
    <w:p w14:paraId="31DDC519">
      <w:pPr>
        <w:pStyle w:val="33"/>
        <w:numPr>
          <w:ilvl w:val="0"/>
          <w:numId w:val="29"/>
        </w:numPr>
        <w:spacing w:after="0"/>
        <w:rPr>
          <w:bCs/>
        </w:rPr>
      </w:pPr>
      <w:r>
        <w:rPr>
          <w:bCs/>
          <w:i/>
        </w:rPr>
        <w:t>Zero‑Shot Evaluation</w:t>
      </w:r>
      <w:r>
        <w:rPr>
          <w:bCs/>
        </w:rPr>
        <w:t>, mengevaluasi model sumber langsung pada data target tanpa perubahan;</w:t>
      </w:r>
    </w:p>
    <w:p w14:paraId="23DF244E">
      <w:pPr>
        <w:pStyle w:val="33"/>
        <w:numPr>
          <w:ilvl w:val="0"/>
          <w:numId w:val="29"/>
        </w:numPr>
        <w:spacing w:after="0"/>
        <w:rPr>
          <w:bCs/>
        </w:rPr>
      </w:pPr>
      <w:r>
        <w:rPr>
          <w:bCs/>
          <w:i/>
        </w:rPr>
        <w:t>Fine‑Tune Head</w:t>
      </w:r>
      <w:r>
        <w:rPr>
          <w:bCs/>
        </w:rPr>
        <w:t>, membekukan seluruh encoder dan hanya melatih ulang lapisan prediksi untuk adaptasi cepat dan efisien;</w:t>
      </w:r>
    </w:p>
    <w:p w14:paraId="42807E1B">
      <w:pPr>
        <w:pStyle w:val="33"/>
        <w:numPr>
          <w:ilvl w:val="0"/>
          <w:numId w:val="29"/>
        </w:numPr>
        <w:spacing w:after="0"/>
        <w:rPr>
          <w:bCs/>
        </w:rPr>
      </w:pPr>
      <w:r>
        <w:rPr>
          <w:bCs/>
          <w:i/>
        </w:rPr>
        <w:t>Staged Unfreeze</w:t>
      </w:r>
      <w:r>
        <w:rPr>
          <w:bCs/>
        </w:rPr>
        <w:t xml:space="preserve">, membuka blok </w:t>
      </w:r>
      <w:r>
        <w:rPr>
          <w:bCs/>
          <w:i/>
        </w:rPr>
        <w:t>encoder</w:t>
      </w:r>
      <w:r>
        <w:rPr>
          <w:bCs/>
        </w:rPr>
        <w:t xml:space="preserve"> secara bertahap dari lapisan atas ke bawah untuk mengurangi risiko </w:t>
      </w:r>
      <w:r>
        <w:rPr>
          <w:bCs/>
          <w:i/>
        </w:rPr>
        <w:t>catastrophic forgetting</w:t>
      </w:r>
      <w:r>
        <w:rPr>
          <w:bCs/>
        </w:rPr>
        <w:t xml:space="preserve"> sekaligus mempelajari karakteristik target secara lebih dalam.</w:t>
      </w:r>
    </w:p>
    <w:p w14:paraId="5672AD5F">
      <w:pPr>
        <w:keepNext/>
        <w:spacing w:after="0"/>
        <w:jc w:val="center"/>
      </w:pPr>
      <w:r>
        <w:rPr>
          <w:bCs/>
        </w:rPr>
        <w:drawing>
          <wp:inline distT="0" distB="0" distL="0" distR="0">
            <wp:extent cx="4315460" cy="3268980"/>
            <wp:effectExtent l="0" t="0" r="889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4341580" cy="3288662"/>
                    </a:xfrm>
                    <a:prstGeom prst="rect">
                      <a:avLst/>
                    </a:prstGeom>
                  </pic:spPr>
                </pic:pic>
              </a:graphicData>
            </a:graphic>
          </wp:inline>
        </w:drawing>
      </w:r>
    </w:p>
    <w:p w14:paraId="0871EE01">
      <w:pPr>
        <w:pStyle w:val="11"/>
        <w:keepNext/>
        <w:jc w:val="center"/>
        <w:rPr>
          <w:b/>
          <w:i w:val="0"/>
          <w:color w:val="auto"/>
          <w:sz w:val="24"/>
        </w:rPr>
      </w:pPr>
      <w:bookmarkStart w:id="75" w:name="_Toc236077410"/>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15</w:t>
      </w:r>
      <w:r>
        <w:rPr>
          <w:b/>
          <w:i w:val="0"/>
          <w:color w:val="auto"/>
          <w:sz w:val="24"/>
        </w:rPr>
        <w:fldChar w:fldCharType="end"/>
      </w:r>
      <w:r>
        <w:rPr>
          <w:b/>
          <w:i w:val="0"/>
          <w:color w:val="auto"/>
          <w:sz w:val="24"/>
        </w:rPr>
        <w:t xml:space="preserve"> Skema </w:t>
      </w:r>
      <w:r>
        <w:rPr>
          <w:b/>
          <w:color w:val="auto"/>
          <w:sz w:val="24"/>
        </w:rPr>
        <w:t>Transfer Learning</w:t>
      </w:r>
      <w:r>
        <w:rPr>
          <w:b/>
          <w:i w:val="0"/>
          <w:color w:val="auto"/>
          <w:sz w:val="24"/>
        </w:rPr>
        <w:t xml:space="preserve"> dari </w:t>
      </w:r>
      <w:r>
        <w:rPr>
          <w:b/>
          <w:color w:val="auto"/>
          <w:sz w:val="24"/>
        </w:rPr>
        <w:t>Multi-Site</w:t>
      </w:r>
      <w:r>
        <w:rPr>
          <w:b/>
          <w:i w:val="0"/>
          <w:color w:val="auto"/>
          <w:sz w:val="24"/>
        </w:rPr>
        <w:t xml:space="preserve"> ke </w:t>
      </w:r>
      <w:r>
        <w:rPr>
          <w:b/>
          <w:color w:val="auto"/>
          <w:sz w:val="24"/>
        </w:rPr>
        <w:t>Single-Site</w:t>
      </w:r>
      <w:bookmarkEnd w:id="75"/>
    </w:p>
    <w:p w14:paraId="15C463B3">
      <w:pPr>
        <w:ind w:firstLine="720"/>
        <w:rPr>
          <w:lang w:val="en-US"/>
        </w:rPr>
      </w:pPr>
      <w:r>
        <w:rPr>
          <w:lang w:val="en-US"/>
        </w:rPr>
        <w:t>S</w:t>
      </w:r>
      <w:r>
        <w:t>ecara teknis</w:t>
      </w:r>
      <w:r>
        <w:rPr>
          <w:lang w:val="en-US"/>
        </w:rPr>
        <w:t>,</w:t>
      </w:r>
      <w:r>
        <w:t xml:space="preserve"> modul mendukung adaptasi lintas arsitektur, khususn</w:t>
      </w:r>
      <w:r>
        <w:rPr>
          <w:lang w:val="en-US"/>
        </w:rPr>
        <w:t>]</w:t>
      </w:r>
      <w:r>
        <w:t xml:space="preserve">ya dari model </w:t>
      </w:r>
      <w:r>
        <w:rPr>
          <w:i/>
        </w:rPr>
        <w:t>multi‑site</w:t>
      </w:r>
      <w:r>
        <w:t xml:space="preserve"> ke </w:t>
      </w:r>
      <w:r>
        <w:rPr>
          <w:i/>
        </w:rPr>
        <w:t>single‑site</w:t>
      </w:r>
      <w:r>
        <w:t xml:space="preserve">. </w:t>
      </w:r>
      <w:r>
        <w:rPr>
          <w:lang w:val="en-US"/>
        </w:rPr>
        <w:t xml:space="preserve">Skema ini dijelaskan di Gambar 3. 15. </w:t>
      </w:r>
      <w:r>
        <w:t xml:space="preserve">Sistem mendeteksi keberadaan </w:t>
      </w:r>
      <w:r>
        <w:rPr>
          <w:i/>
        </w:rPr>
        <w:t>site embedding</w:t>
      </w:r>
      <w:r>
        <w:t xml:space="preserve"> pada dan menyesuaikan struktur model target, sehingga informasi dari </w:t>
      </w:r>
      <w:r>
        <w:rPr>
          <w:i/>
        </w:rPr>
        <w:t>multi‑site</w:t>
      </w:r>
      <w:r>
        <w:t xml:space="preserve"> dapat ditransfer secara efektif. Kinerja adaptasi dievaluasi menggunakan metrik akurasi (RMSE, MAE, R²)</w:t>
      </w:r>
      <w:r>
        <w:rPr>
          <w:lang w:val="en-US"/>
        </w:rPr>
        <w:t>.</w:t>
      </w:r>
    </w:p>
    <w:p w14:paraId="2A317A82">
      <w:pPr>
        <w:pStyle w:val="4"/>
      </w:pPr>
      <w:bookmarkStart w:id="76" w:name="_Toc236076747"/>
      <w:r>
        <w:t>3.3.7 Modul Visualisasi</w:t>
      </w:r>
      <w:bookmarkEnd w:id="76"/>
    </w:p>
    <w:p w14:paraId="473594B5">
      <w:pPr>
        <w:spacing w:after="0"/>
        <w:ind w:firstLine="720"/>
        <w:rPr>
          <w:lang w:val="en-US"/>
        </w:rPr>
      </w:pPr>
      <w:r>
        <w:rPr>
          <w:lang w:val="en-US"/>
        </w:rPr>
        <w:t>Modul</w:t>
      </w:r>
      <w:r>
        <w:t xml:space="preserve"> visualisasi penelitian ini disusun secara sistematis mulai dari tahap pra-pemrosesan yang mencakup histogram distribusi hujan, peta geospasial stasiun, dan matriks korelasi fitur. Pada tahap optimasi, kinerja algoritma IFPOA-X digambarkan melalui kurva konvergensi error serta plot </w:t>
      </w:r>
      <w:r>
        <w:rPr>
          <w:i/>
          <w:iCs/>
        </w:rPr>
        <w:t>Pareto Front</w:t>
      </w:r>
      <w:r>
        <w:t xml:space="preserve"> untuk menganalisis </w:t>
      </w:r>
      <w:r>
        <w:rPr>
          <w:i/>
          <w:iCs/>
        </w:rPr>
        <w:t>trade-off</w:t>
      </w:r>
      <w:r>
        <w:t xml:space="preserve"> antara akurasi dan ketahanan. </w:t>
      </w:r>
      <w:r>
        <w:rPr>
          <w:lang w:val="en-US"/>
        </w:rPr>
        <w:t xml:space="preserve">Serta metrik fungsi </w:t>
      </w:r>
      <w:r>
        <w:rPr>
          <w:i/>
          <w:lang w:val="en-US"/>
        </w:rPr>
        <w:t xml:space="preserve">benchmark. </w:t>
      </w:r>
      <w:r>
        <w:t xml:space="preserve">Selanjutnya, evaluasi model ditampilkan lewat grafik perbandingan </w:t>
      </w:r>
      <w:r>
        <w:rPr>
          <w:i/>
          <w:iCs/>
        </w:rPr>
        <w:t>time-series</w:t>
      </w:r>
      <w:r>
        <w:t xml:space="preserve"> (aktual vs prediksi), diagram metrik per horizon waktu, serta visualisasi performa deteksi kejadian ekstrem. Analisis ditutup dengan pengujian </w:t>
      </w:r>
      <w:r>
        <w:rPr>
          <w:i/>
          <w:iCs/>
        </w:rPr>
        <w:t>robustness</w:t>
      </w:r>
      <w:r>
        <w:t xml:space="preserve"> dan </w:t>
      </w:r>
      <w:r>
        <w:rPr>
          <w:i/>
          <w:iCs/>
        </w:rPr>
        <w:t>transfer learning</w:t>
      </w:r>
      <w:r>
        <w:t xml:space="preserve"> yang divisualisasikan menggunakan </w:t>
      </w:r>
      <w:r>
        <w:rPr>
          <w:i/>
          <w:iCs/>
        </w:rPr>
        <w:t>heatmap</w:t>
      </w:r>
      <w:r>
        <w:t xml:space="preserve"> korelasi antar-wilayah serta boxplot performa pada berbagai rezim iklim.</w:t>
      </w:r>
    </w:p>
    <w:p w14:paraId="6D96C888">
      <w:pPr>
        <w:pStyle w:val="3"/>
      </w:pPr>
      <w:bookmarkStart w:id="77" w:name="_Toc236076748"/>
      <w:r>
        <w:t>3.4 Alur Kerja Penelitian</w:t>
      </w:r>
      <w:bookmarkEnd w:id="77"/>
    </w:p>
    <w:p w14:paraId="4C97EF02">
      <w:pPr>
        <w:keepNext/>
        <w:spacing w:after="0"/>
        <w:jc w:val="center"/>
      </w:pPr>
      <w:r>
        <w:rPr>
          <w:lang w:val="en-US"/>
        </w:rPr>
        <w:drawing>
          <wp:inline distT="0" distB="0" distL="0" distR="0">
            <wp:extent cx="5039995" cy="3178175"/>
            <wp:effectExtent l="0" t="0" r="825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039995" cy="3178437"/>
                    </a:xfrm>
                    <a:prstGeom prst="rect">
                      <a:avLst/>
                    </a:prstGeom>
                  </pic:spPr>
                </pic:pic>
              </a:graphicData>
            </a:graphic>
          </wp:inline>
        </w:drawing>
      </w:r>
    </w:p>
    <w:p w14:paraId="7BB90540">
      <w:pPr>
        <w:pStyle w:val="11"/>
        <w:keepNext/>
        <w:jc w:val="center"/>
        <w:rPr>
          <w:b/>
          <w:i w:val="0"/>
          <w:color w:val="auto"/>
          <w:sz w:val="24"/>
        </w:rPr>
      </w:pPr>
      <w:bookmarkStart w:id="78" w:name="_Toc236077411"/>
      <w:r>
        <w:rPr>
          <w:b/>
          <w:i w:val="0"/>
          <w:color w:val="auto"/>
          <w:sz w:val="24"/>
        </w:rPr>
        <w:t>Gambar 3.</w:t>
      </w:r>
      <w:r>
        <w:rPr>
          <w:b/>
          <w:i w:val="0"/>
          <w:color w:val="auto"/>
          <w:sz w:val="24"/>
          <w:lang w:val="en-US"/>
        </w:rPr>
        <w:t xml:space="preserve"> </w:t>
      </w:r>
      <w:r>
        <w:rPr>
          <w:b/>
          <w:i w:val="0"/>
          <w:color w:val="auto"/>
          <w:sz w:val="24"/>
        </w:rPr>
        <w:fldChar w:fldCharType="begin"/>
      </w:r>
      <w:r>
        <w:rPr>
          <w:b/>
          <w:i w:val="0"/>
          <w:color w:val="auto"/>
          <w:sz w:val="24"/>
        </w:rPr>
        <w:instrText xml:space="preserve"> SEQ Gambar_3. \* ARABIC </w:instrText>
      </w:r>
      <w:r>
        <w:rPr>
          <w:b/>
          <w:i w:val="0"/>
          <w:color w:val="auto"/>
          <w:sz w:val="24"/>
        </w:rPr>
        <w:fldChar w:fldCharType="separate"/>
      </w:r>
      <w:r>
        <w:rPr>
          <w:b/>
          <w:i w:val="0"/>
          <w:color w:val="auto"/>
          <w:sz w:val="24"/>
        </w:rPr>
        <w:t>16</w:t>
      </w:r>
      <w:r>
        <w:rPr>
          <w:b/>
          <w:i w:val="0"/>
          <w:color w:val="auto"/>
          <w:sz w:val="24"/>
        </w:rPr>
        <w:fldChar w:fldCharType="end"/>
      </w:r>
      <w:r>
        <w:rPr>
          <w:b/>
          <w:i w:val="0"/>
          <w:color w:val="auto"/>
          <w:sz w:val="24"/>
        </w:rPr>
        <w:t xml:space="preserve"> Diagram Alir Penelitian</w:t>
      </w:r>
      <w:bookmarkEnd w:id="78"/>
    </w:p>
    <w:p w14:paraId="040B6D2D">
      <w:pPr>
        <w:spacing w:after="0"/>
        <w:ind w:firstLine="720"/>
        <w:rPr>
          <w:lang w:val="en-US"/>
        </w:rPr>
      </w:pPr>
      <w:r>
        <w:t>Diagram alir penelitian ini</w:t>
      </w:r>
      <w:r>
        <w:rPr>
          <w:lang w:val="en-US"/>
        </w:rPr>
        <w:t xml:space="preserve"> divisualisasikan di Gambar 3. 16. Penelitian</w:t>
      </w:r>
      <w:r>
        <w:t xml:space="preserve"> diawali dengan tahap identifikasi masalah, studi literatur, serta pengumpulan dan pra-pemrosesan data</w:t>
      </w:r>
      <w:r>
        <w:rPr>
          <w:lang w:val="en-US"/>
        </w:rPr>
        <w:t xml:space="preserve">. </w:t>
      </w:r>
      <w:r>
        <w:t xml:space="preserve">Alur utama kemudian dibagi menjadi dua fase pengembangan: pertama, </w:t>
      </w:r>
      <w:r>
        <w:rPr>
          <w:bCs/>
        </w:rPr>
        <w:t>perancangan dan validasi algoritma IFPOA-X</w:t>
      </w:r>
      <w:r>
        <w:t xml:space="preserve"> menggunakan fungsi </w:t>
      </w:r>
      <w:r>
        <w:rPr>
          <w:i/>
        </w:rPr>
        <w:t>benchmark</w:t>
      </w:r>
      <w:r>
        <w:t xml:space="preserve"> standar (</w:t>
      </w:r>
      <w:r>
        <w:rPr>
          <w:i/>
        </w:rPr>
        <w:t>Ackley, Rastrigin, Rosenbrock</w:t>
      </w:r>
      <w:r>
        <w:t xml:space="preserve">) untuk memastikan kemampuan konvergensi. Kedua, penerapan algoritma yang telah tervalidasi tersebut ke dalam </w:t>
      </w:r>
      <w:r>
        <w:rPr>
          <w:bCs/>
        </w:rPr>
        <w:t>modul HPO</w:t>
      </w:r>
      <w:r>
        <w:t xml:space="preserve"> untuk mengoptimalkan model </w:t>
      </w:r>
      <w:r>
        <w:rPr>
          <w:i/>
        </w:rPr>
        <w:t>Transformer</w:t>
      </w:r>
      <w:r>
        <w:rPr>
          <w:i/>
          <w:lang w:val="en-US"/>
        </w:rPr>
        <w:t xml:space="preserve"> </w:t>
      </w:r>
      <w:r>
        <w:rPr>
          <w:lang w:val="en-US"/>
        </w:rPr>
        <w:t xml:space="preserve">dan </w:t>
      </w:r>
      <w:r>
        <w:rPr>
          <w:i/>
          <w:lang w:val="en-US"/>
        </w:rPr>
        <w:t>baseline</w:t>
      </w:r>
      <w:r>
        <w:t xml:space="preserve">, diikuti oleh pelatihan ulang model dengan konfigurasi terbaik. Tahap evaluasi dilakukan secara komprehensif mencakup metrik akurasi, ketahanan, deteksi ekstrem, dan uji signifikansi statistik. Jika performa model tidak melampaui </w:t>
      </w:r>
      <w:r>
        <w:rPr>
          <w:i/>
          <w:iCs/>
        </w:rPr>
        <w:t>baseline</w:t>
      </w:r>
      <w:r>
        <w:t xml:space="preserve"> secara signifikan, proses akan dikembalikan ke tahap perancangan; namun jika kriteria terpenuhi, penelitian dilanjutkan ke tahap visualisasi hasil dan penyusunan laporan.</w:t>
      </w:r>
    </w:p>
    <w:p w14:paraId="456813D1">
      <w:pPr>
        <w:spacing w:after="0"/>
        <w:sectPr>
          <w:headerReference r:id="rId12" w:type="default"/>
          <w:footerReference r:id="rId13" w:type="default"/>
          <w:pgSz w:w="11906" w:h="16838"/>
          <w:pgMar w:top="1701" w:right="1701" w:bottom="1701" w:left="2268" w:header="708" w:footer="708" w:gutter="0"/>
          <w:cols w:space="708" w:num="1"/>
          <w:titlePg/>
          <w:docGrid w:linePitch="360" w:charSpace="0"/>
        </w:sectPr>
      </w:pPr>
    </w:p>
    <w:p w14:paraId="44CD02CE">
      <w:pPr>
        <w:pStyle w:val="2"/>
      </w:pPr>
      <w:bookmarkStart w:id="79" w:name="_Toc236076749"/>
      <w:r>
        <w:t xml:space="preserve">BAB IV </w:t>
      </w:r>
      <w:r>
        <w:br w:type="textWrapping"/>
      </w:r>
      <w:r>
        <w:t>HASIL DAN PEMBAHASAN</w:t>
      </w:r>
      <w:bookmarkEnd w:id="79"/>
    </w:p>
    <w:p w14:paraId="07F1766D">
      <w:pPr>
        <w:pStyle w:val="3"/>
      </w:pPr>
      <w:bookmarkStart w:id="80" w:name="_Toc236076750"/>
      <w:r>
        <w:t>4.1 Validasi dan Evaluasi Kinerja Algoritma IFPOA-X</w:t>
      </w:r>
      <w:bookmarkEnd w:id="80"/>
    </w:p>
    <w:p w14:paraId="5558E20D">
      <w:pPr>
        <w:spacing w:after="0"/>
        <w:ind w:firstLine="720"/>
        <w:rPr>
          <w:rFonts w:cs="Times New Roman"/>
        </w:rPr>
      </w:pPr>
      <w:r>
        <w:rPr>
          <w:rFonts w:cs="Times New Roman"/>
          <w:lang w:val="en-US"/>
        </w:rPr>
        <w:t>Bagian</w:t>
      </w:r>
      <w:r>
        <w:rPr>
          <w:rFonts w:cs="Times New Roman"/>
        </w:rPr>
        <w:t xml:space="preserve"> ini menjawab Rumusan Masalah 1, yaitu menilai efektivitas algoritma IFPOA-X dalam menangani ruang pencarian non-konveks sebelum algoritma tersebut diterapkan pada optimasi </w:t>
      </w:r>
      <w:r>
        <w:rPr>
          <w:rFonts w:cs="Times New Roman"/>
          <w:i/>
          <w:iCs/>
        </w:rPr>
        <w:t xml:space="preserve">hyperparameter </w:t>
      </w:r>
      <w:r>
        <w:rPr>
          <w:rFonts w:cs="Times New Roman"/>
        </w:rPr>
        <w:t xml:space="preserve">model </w:t>
      </w:r>
      <w:r>
        <w:rPr>
          <w:rFonts w:cs="Times New Roman"/>
          <w:i/>
          <w:iCs/>
        </w:rPr>
        <w:t>Transformer</w:t>
      </w:r>
      <w:r>
        <w:rPr>
          <w:rFonts w:cs="Times New Roman"/>
          <w:i/>
          <w:iCs/>
          <w:lang w:val="en-US"/>
        </w:rPr>
        <w:t xml:space="preserve"> </w:t>
      </w:r>
      <w:r>
        <w:rPr>
          <w:rFonts w:cs="Times New Roman"/>
          <w:lang w:val="en-US"/>
        </w:rPr>
        <w:t xml:space="preserve">dan </w:t>
      </w:r>
      <w:r>
        <w:rPr>
          <w:rFonts w:cs="Times New Roman"/>
          <w:i/>
          <w:iCs/>
          <w:lang w:val="en-US"/>
        </w:rPr>
        <w:t>baseline</w:t>
      </w:r>
      <w:r>
        <w:rPr>
          <w:rFonts w:cs="Times New Roman"/>
        </w:rPr>
        <w:t>.</w:t>
      </w:r>
    </w:p>
    <w:p w14:paraId="20931175">
      <w:pPr>
        <w:spacing w:after="0"/>
        <w:jc w:val="center"/>
        <w:rPr>
          <w:rFonts w:cs="Times New Roman"/>
          <w:b/>
          <w:lang w:val="en-US"/>
        </w:rPr>
      </w:pPr>
      <w:r>
        <w:rPr>
          <w:rFonts w:cs="Times New Roman"/>
          <w:b/>
          <w:lang w:val="en-US"/>
        </w:rPr>
        <w:t>Algoritma 4. 1 Pseudocode IFPOA-X</w:t>
      </w:r>
    </w:p>
    <w:p w14:paraId="0B52CE16">
      <w:pPr>
        <w:spacing w:line="240" w:lineRule="auto"/>
        <w:jc w:val="center"/>
        <w:rPr>
          <w:rFonts w:cs="Times New Roman"/>
        </w:rPr>
      </w:pPr>
      <w:r>
        <w:rPr>
          <w:rFonts w:cs="Times New Roman"/>
        </w:rPr>
        <w:drawing>
          <wp:inline distT="0" distB="0" distL="0" distR="0">
            <wp:extent cx="4251960" cy="60090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277620" cy="6045306"/>
                    </a:xfrm>
                    <a:prstGeom prst="rect">
                      <a:avLst/>
                    </a:prstGeom>
                  </pic:spPr>
                </pic:pic>
              </a:graphicData>
            </a:graphic>
          </wp:inline>
        </w:drawing>
      </w:r>
    </w:p>
    <w:p w14:paraId="7C3D6DB2">
      <w:pPr>
        <w:ind w:firstLine="720"/>
        <w:rPr>
          <w:rFonts w:cs="Times New Roman"/>
        </w:rPr>
      </w:pPr>
      <w:r>
        <w:t>Algoritma 4.1 menampilkan mekanisme IFPOA-X yang secara langsung dievaluasi</w:t>
      </w:r>
      <w:r>
        <w:rPr>
          <w:rFonts w:cs="Times New Roman"/>
        </w:rPr>
        <w:t xml:space="preserve"> pada Subbab 4.1.1–4.1.4. Bagian yang menjadi fokus studi ablasi ditandai pada mekanisme OBL, pemilihan operator UCB1, dan JADE-style local search. Dengan menampilkan pseudocode pada Bab IV, hubungan antara struktur algoritma dan hasil empiris dapat diamati secara langsung, sedangkan </w:t>
      </w:r>
      <w:r>
        <w:rPr>
          <w:rFonts w:cs="Times New Roman"/>
          <w:i/>
        </w:rPr>
        <w:t>pseudocode</w:t>
      </w:r>
      <w:r>
        <w:rPr>
          <w:rFonts w:cs="Times New Roman"/>
        </w:rPr>
        <w:t xml:space="preserve"> lengkap tetap disediakan pada Lampiran 2 untuk mendukung replikasi.</w:t>
      </w:r>
    </w:p>
    <w:p w14:paraId="4DE4FE3D">
      <w:pPr>
        <w:pStyle w:val="4"/>
      </w:pPr>
      <w:bookmarkStart w:id="81" w:name="_Toc236076751"/>
      <w:r>
        <w:t>4.1.</w:t>
      </w:r>
      <w:r>
        <w:rPr>
          <w:lang w:val="en-US"/>
        </w:rPr>
        <w:t>1</w:t>
      </w:r>
      <w:r>
        <w:t xml:space="preserve"> Analisis Hasil Uji pada Fungsi Multimodal (</w:t>
      </w:r>
      <w:r>
        <w:rPr>
          <w:i/>
          <w:iCs/>
        </w:rPr>
        <w:t xml:space="preserve">Ackley </w:t>
      </w:r>
      <w:r>
        <w:t xml:space="preserve">dan </w:t>
      </w:r>
      <w:r>
        <w:rPr>
          <w:i/>
          <w:iCs/>
        </w:rPr>
        <w:t>Rastrigin</w:t>
      </w:r>
      <w:r>
        <w:t>)</w:t>
      </w:r>
      <w:bookmarkEnd w:id="81"/>
    </w:p>
    <w:p w14:paraId="64FA4B1E">
      <w:pPr>
        <w:ind w:firstLine="720"/>
        <w:rPr>
          <w:rFonts w:cs="Times New Roman"/>
        </w:rPr>
      </w:pPr>
      <w:r>
        <w:rPr>
          <w:rFonts w:cs="Times New Roman"/>
        </w:rPr>
        <w:t xml:space="preserve">Pada kedua fungsi ini, IFPOA-X menunjukkan keunggulan eksplorasi yang dominan. Pada </w:t>
      </w:r>
      <w:r>
        <w:rPr>
          <w:rFonts w:cs="Times New Roman"/>
          <w:i/>
          <w:iCs/>
        </w:rPr>
        <w:t>Ackley</w:t>
      </w:r>
      <w:r>
        <w:rPr>
          <w:rFonts w:cs="Times New Roman"/>
        </w:rPr>
        <w:t xml:space="preserve">, IFPOA-X mencapai rata-rata </w:t>
      </w:r>
      <m:oMath>
        <m:r>
          <m:rPr>
            <m:nor/>
            <m:sty m:val="p"/>
          </m:rPr>
          <w:rPr>
            <w:rFonts w:cs="Times New Roman"/>
          </w:rPr>
          <m:t>3,90×</m:t>
        </m:r>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-1</m:t>
            </m:r>
            <m:ctrlPr>
              <w:rPr>
                <w:rFonts w:ascii="Cambria Math" w:hAnsi="Cambria Math" w:cs="Times New Roman"/>
              </w:rPr>
            </m:ctrlPr>
          </m:sup>
        </m:sSup>
      </m:oMath>
      <w:r>
        <w:rPr>
          <w:rFonts w:cs="Times New Roman"/>
        </w:rPr>
        <w:t xml:space="preserve">, sedangkan FPA dan PSO stagnan pada kisaran </w:t>
      </w:r>
      <m:oMath>
        <m:r>
          <m:rPr>
            <m:nor/>
            <m:sty m:val="p"/>
          </m:rPr>
          <w:rPr>
            <w:rFonts w:cs="Times New Roman"/>
          </w:rPr>
          <m:t>13,6</m:t>
        </m:r>
      </m:oMath>
      <w:r>
        <w:rPr>
          <w:rFonts w:cs="Times New Roman"/>
        </w:rPr>
        <w:t xml:space="preserve"> dan </w:t>
      </w:r>
      <m:oMath>
        <m:r>
          <m:rPr>
            <m:nor/>
            <m:sty m:val="p"/>
          </m:rPr>
          <w:rPr>
            <w:rFonts w:cs="Times New Roman"/>
          </w:rPr>
          <m:t>13,1</m:t>
        </m:r>
      </m:oMath>
      <w:r>
        <w:rPr>
          <w:rFonts w:cs="Times New Roman"/>
        </w:rPr>
        <w:t xml:space="preserve">. Pada Rastrigin, keunggulan tersebut semakin tegas, dengan IFPOA-X mencapai median </w:t>
      </w:r>
      <m:oMath>
        <m:r>
          <m:rPr>
            <m:nor/>
            <m:sty m:val="p"/>
          </m:rPr>
          <w:rPr>
            <w:rFonts w:cs="Times New Roman"/>
          </w:rPr>
          <m:t>1,10×</m:t>
        </m:r>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-1</m:t>
            </m:r>
            <m:ctrlPr>
              <w:rPr>
                <w:rFonts w:ascii="Cambria Math" w:hAnsi="Cambria Math" w:cs="Times New Roman"/>
              </w:rPr>
            </m:ctrlPr>
          </m:sup>
        </m:sSup>
      </m:oMath>
      <w:r>
        <w:rPr>
          <w:rFonts w:cs="Times New Roman"/>
        </w:rPr>
        <w:t xml:space="preserve">, sementara FPA dan PSO masih berada pada orde </w:t>
      </w:r>
      <m:oMath>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hingga </w:t>
      </w:r>
      <m:oMath>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3</m:t>
            </m:r>
            <m:ctrlPr>
              <w:rPr>
                <w:rFonts w:ascii="Cambria Math" w:hAnsi="Cambria Math" w:cs="Times New Roman"/>
              </w:rPr>
            </m:ctrlPr>
          </m:sup>
        </m:sSup>
      </m:oMath>
      <w:r>
        <w:rPr>
          <w:rFonts w:cs="Times New Roman"/>
        </w:rPr>
        <w:t>.</w:t>
      </w:r>
      <w:r>
        <w:rPr>
          <w:rFonts w:cs="Times New Roman"/>
          <w:lang w:val="en-US"/>
        </w:rPr>
        <w:t xml:space="preserve"> </w:t>
      </w:r>
      <w:r>
        <w:rPr>
          <w:rFonts w:cs="Times New Roman"/>
        </w:rPr>
        <w:t xml:space="preserve">Keunggulan ini mengonfirmasi kontribusi dua mekanisme inti IFPOA-X. Pertama, </w:t>
      </w:r>
      <w:r>
        <w:rPr>
          <w:rFonts w:cs="Times New Roman"/>
          <w:lang w:val="en-US"/>
        </w:rPr>
        <w:t xml:space="preserve">OBL </w:t>
      </w:r>
      <w:r>
        <w:rPr>
          <w:rFonts w:cs="Times New Roman"/>
        </w:rPr>
        <w:t xml:space="preserve"> meningkatkan peluang menjangkau cekungan global dan menghindari jebakan lokal. Kedua, mekanisme seleksi operator adaptif berbasis bandit UCB1 menyeimbangkan eksplorasi global dan eksploitasi lokal secara dinamis. </w:t>
      </w:r>
    </w:p>
    <w:p w14:paraId="71209962">
      <w:pPr>
        <w:pStyle w:val="5"/>
        <w:keepNext/>
        <w:jc w:val="center"/>
      </w:pPr>
      <w:r>
        <w:rPr>
          <w:rFonts w:cs="Times New Roman"/>
          <w:lang w:val="en-US"/>
        </w:rPr>
        <w:drawing>
          <wp:inline distT="0" distB="0" distL="114300" distR="114300">
            <wp:extent cx="4378325" cy="2628900"/>
            <wp:effectExtent l="0" t="0" r="3175" b="0"/>
            <wp:docPr id="28" name="Picture 28" descr="ack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ckley"/>
                    <pic:cNvPicPr>
                      <a:picLocks noChangeAspect="1"/>
                    </pic:cNvPicPr>
                  </pic:nvPicPr>
                  <pic:blipFill>
                    <a:blip r:embed="rId41"/>
                    <a:stretch>
                      <a:fillRect/>
                    </a:stretch>
                  </pic:blipFill>
                  <pic:spPr>
                    <a:xfrm>
                      <a:off x="0" y="0"/>
                      <a:ext cx="4382092" cy="2630805"/>
                    </a:xfrm>
                    <a:prstGeom prst="rect">
                      <a:avLst/>
                    </a:prstGeom>
                  </pic:spPr>
                </pic:pic>
              </a:graphicData>
            </a:graphic>
          </wp:inline>
        </w:drawing>
      </w:r>
    </w:p>
    <w:p w14:paraId="0AA93C7E">
      <w:pPr>
        <w:pStyle w:val="11"/>
        <w:jc w:val="center"/>
        <w:rPr>
          <w:rFonts w:cs="Times New Roman"/>
          <w:b/>
          <w:i w:val="0"/>
          <w:color w:val="auto"/>
          <w:sz w:val="24"/>
          <w:lang w:val="en-US"/>
        </w:rPr>
      </w:pPr>
      <w:bookmarkStart w:id="82" w:name="_Toc236077412"/>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lang w:val="en-US"/>
        </w:rPr>
        <w:t xml:space="preserve"> Kurva konvergensi pada fungsi Ackley</w:t>
      </w:r>
      <w:bookmarkEnd w:id="82"/>
    </w:p>
    <w:p w14:paraId="198252DE">
      <w:pPr>
        <w:ind w:firstLine="720"/>
        <w:rPr>
          <w:rFonts w:cs="Times New Roman"/>
        </w:rPr>
      </w:pPr>
      <w:r>
        <w:rPr>
          <w:rFonts w:cs="Times New Roman"/>
        </w:rPr>
        <w:t>Kurva konvergensi pada Gambar 4.</w:t>
      </w:r>
      <w:r>
        <w:rPr>
          <w:rFonts w:cs="Times New Roman"/>
          <w:lang w:val="en-US"/>
        </w:rPr>
        <w:t xml:space="preserve"> 1</w:t>
      </w:r>
      <w:r>
        <w:rPr>
          <w:rFonts w:cs="Times New Roman"/>
        </w:rPr>
        <w:t xml:space="preserve"> dan 4.</w:t>
      </w:r>
      <w:r>
        <w:rPr>
          <w:rFonts w:cs="Times New Roman"/>
          <w:lang w:val="en-US"/>
        </w:rPr>
        <w:t xml:space="preserve"> 2</w:t>
      </w:r>
      <w:r>
        <w:rPr>
          <w:rFonts w:cs="Times New Roman"/>
        </w:rPr>
        <w:t xml:space="preserve"> menunjukkan bahwa </w:t>
      </w:r>
      <w:r>
        <w:rPr>
          <w:rFonts w:cs="Times New Roman"/>
          <w:i/>
          <w:iCs/>
        </w:rPr>
        <w:t xml:space="preserve">baseline </w:t>
      </w:r>
      <w:r>
        <w:rPr>
          <w:rFonts w:cs="Times New Roman"/>
        </w:rPr>
        <w:t xml:space="preserve">mengalami </w:t>
      </w:r>
      <w:r>
        <w:rPr>
          <w:rFonts w:cs="Times New Roman"/>
          <w:lang w:val="en-US"/>
        </w:rPr>
        <w:t xml:space="preserve">stagnan </w:t>
      </w:r>
      <w:r>
        <w:rPr>
          <w:rFonts w:cs="Times New Roman"/>
        </w:rPr>
        <w:t>dini</w:t>
      </w:r>
      <w:r>
        <w:rPr>
          <w:rFonts w:cs="Times New Roman"/>
          <w:lang w:val="en-US"/>
        </w:rPr>
        <w:t xml:space="preserve"> sejak dibawah 100</w:t>
      </w:r>
      <w:r>
        <w:rPr>
          <w:rFonts w:cs="Times New Roman"/>
        </w:rPr>
        <w:t xml:space="preserve">, sedangkan IFPOA-X terus memperbaiki solusi hingga akhir anggaran. </w:t>
      </w:r>
    </w:p>
    <w:p w14:paraId="37B1BEC1">
      <w:pPr>
        <w:pStyle w:val="5"/>
        <w:keepNext/>
        <w:jc w:val="center"/>
      </w:pPr>
      <w:r>
        <w:rPr>
          <w:rFonts w:cs="Times New Roman"/>
          <w:lang w:val="en-US"/>
        </w:rPr>
        <w:drawing>
          <wp:inline distT="0" distB="0" distL="114300" distR="114300">
            <wp:extent cx="4107180" cy="2465705"/>
            <wp:effectExtent l="0" t="0" r="7620" b="0"/>
            <wp:docPr id="29" name="Picture 29" descr="ChatGPT Image Jul 14, 2026, 10_13_0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tGPT Image Jul 14, 2026, 10_13_03 PM"/>
                    <pic:cNvPicPr>
                      <a:picLocks noChangeAspect="1"/>
                    </pic:cNvPicPr>
                  </pic:nvPicPr>
                  <pic:blipFill>
                    <a:blip r:embed="rId42"/>
                    <a:stretch>
                      <a:fillRect/>
                    </a:stretch>
                  </pic:blipFill>
                  <pic:spPr>
                    <a:xfrm>
                      <a:off x="0" y="0"/>
                      <a:ext cx="4121305" cy="2474241"/>
                    </a:xfrm>
                    <a:prstGeom prst="rect">
                      <a:avLst/>
                    </a:prstGeom>
                  </pic:spPr>
                </pic:pic>
              </a:graphicData>
            </a:graphic>
          </wp:inline>
        </w:drawing>
      </w:r>
    </w:p>
    <w:p w14:paraId="38EFBD1E">
      <w:pPr>
        <w:pStyle w:val="11"/>
        <w:jc w:val="center"/>
        <w:rPr>
          <w:rFonts w:cs="Times New Roman"/>
          <w:b/>
          <w:i w:val="0"/>
          <w:color w:val="auto"/>
          <w:sz w:val="24"/>
          <w:lang w:val="en-US"/>
        </w:rPr>
      </w:pPr>
      <w:bookmarkStart w:id="83" w:name="_Toc236077413"/>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lang w:val="en-US"/>
        </w:rPr>
        <w:t xml:space="preserve"> Kurva konvergensi pada fungsi </w:t>
      </w:r>
      <w:r>
        <w:rPr>
          <w:b/>
          <w:color w:val="auto"/>
          <w:sz w:val="24"/>
          <w:lang w:val="en-US"/>
        </w:rPr>
        <w:t>Rastrigin</w:t>
      </w:r>
      <w:bookmarkEnd w:id="83"/>
    </w:p>
    <w:p w14:paraId="6036FAEB">
      <w:pPr>
        <w:jc w:val="center"/>
        <w:rPr>
          <w:b/>
        </w:rPr>
      </w:pPr>
      <w:r>
        <w:drawing>
          <wp:inline distT="0" distB="0" distL="114300" distR="114300">
            <wp:extent cx="5013325" cy="1383665"/>
            <wp:effectExtent l="0" t="0" r="3175" b="635"/>
            <wp:docPr id="35" name="Picture" descr="Kontur Ack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descr="Kontur Ackley"/>
                    <pic:cNvPicPr>
                      <a:picLocks noChangeAspect="1" noChangeArrowheads="1"/>
                    </pic:cNvPicPr>
                  </pic:nvPicPr>
                  <pic:blipFill>
                    <a:blip r:embed="rId43"/>
                    <a:stretch>
                      <a:fillRect/>
                    </a:stretch>
                  </pic:blipFill>
                  <pic:spPr>
                    <a:xfrm>
                      <a:off x="0" y="0"/>
                      <a:ext cx="5013325" cy="1383665"/>
                    </a:xfrm>
                    <a:prstGeom prst="rect">
                      <a:avLst/>
                    </a:prstGeom>
                    <a:noFill/>
                    <a:ln w="9525">
                      <a:noFill/>
                    </a:ln>
                  </pic:spPr>
                </pic:pic>
              </a:graphicData>
            </a:graphic>
          </wp:inline>
        </w:drawing>
      </w:r>
    </w:p>
    <w:p w14:paraId="3844ED1A">
      <w:pPr>
        <w:jc w:val="center"/>
        <w:rPr>
          <w:b/>
          <w:lang w:val="en-US"/>
        </w:rPr>
      </w:pPr>
      <w:bookmarkStart w:id="84" w:name="_Toc236077414"/>
      <w:r>
        <w:rPr>
          <w:b/>
        </w:rPr>
        <w:t xml:space="preserve">Gambar 4. </w:t>
      </w:r>
      <w:r>
        <w:rPr>
          <w:b/>
        </w:rPr>
        <w:fldChar w:fldCharType="begin"/>
      </w:r>
      <w:r>
        <w:rPr>
          <w:b/>
        </w:rPr>
        <w:instrText xml:space="preserve"> SEQ Gambar_4. \* ARABIC </w:instrText>
      </w:r>
      <w:r>
        <w:rPr>
          <w:b/>
        </w:rPr>
        <w:fldChar w:fldCharType="separate"/>
      </w:r>
      <w:r>
        <w:rPr>
          <w:b/>
        </w:rPr>
        <w:t>3</w:t>
      </w:r>
      <w:r>
        <w:rPr>
          <w:b/>
        </w:rPr>
        <w:fldChar w:fldCharType="end"/>
      </w:r>
      <w:r>
        <w:rPr>
          <w:b/>
          <w:lang w:val="en-US"/>
        </w:rPr>
        <w:t xml:space="preserve"> Jejak pencarian algoritma pada proyeksi 2D fungsi </w:t>
      </w:r>
      <w:r>
        <w:rPr>
          <w:b/>
          <w:i/>
          <w:iCs/>
          <w:lang w:val="en-US"/>
        </w:rPr>
        <w:t>Ackley</w:t>
      </w:r>
      <w:bookmarkEnd w:id="84"/>
    </w:p>
    <w:p w14:paraId="4748CF38">
      <w:pPr>
        <w:pStyle w:val="5"/>
        <w:rPr>
          <w:rFonts w:cs="Times New Roman"/>
        </w:rPr>
      </w:pPr>
      <w:r>
        <w:rPr>
          <w:rFonts w:cs="Times New Roman"/>
        </w:rPr>
        <w:drawing>
          <wp:inline distT="0" distB="0" distL="114300" distR="114300">
            <wp:extent cx="5006340" cy="1616075"/>
            <wp:effectExtent l="0" t="0" r="10160" b="9525"/>
            <wp:docPr id="36" name="Picture" descr="Permukaan 3-D Ack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descr="Permukaan 3-D Ackley"/>
                    <pic:cNvPicPr>
                      <a:picLocks noChangeAspect="1" noChangeArrowheads="1"/>
                    </pic:cNvPicPr>
                  </pic:nvPicPr>
                  <pic:blipFill>
                    <a:blip r:embed="rId44"/>
                    <a:stretch>
                      <a:fillRect/>
                    </a:stretch>
                  </pic:blipFill>
                  <pic:spPr>
                    <a:xfrm>
                      <a:off x="0" y="0"/>
                      <a:ext cx="5006340" cy="1616075"/>
                    </a:xfrm>
                    <a:prstGeom prst="rect">
                      <a:avLst/>
                    </a:prstGeom>
                    <a:noFill/>
                    <a:ln w="9525">
                      <a:noFill/>
                    </a:ln>
                  </pic:spPr>
                </pic:pic>
              </a:graphicData>
            </a:graphic>
          </wp:inline>
        </w:drawing>
      </w:r>
    </w:p>
    <w:p w14:paraId="4F4269D7">
      <w:pPr>
        <w:spacing w:after="0"/>
        <w:rPr>
          <w:b/>
          <w:lang w:val="en-US"/>
        </w:rPr>
      </w:pPr>
      <w:bookmarkStart w:id="85" w:name="_Toc236077415"/>
      <w:r>
        <w:rPr>
          <w:b/>
        </w:rPr>
        <w:t xml:space="preserve">Gambar 4. </w:t>
      </w:r>
      <w:r>
        <w:rPr>
          <w:b/>
        </w:rPr>
        <w:fldChar w:fldCharType="begin"/>
      </w:r>
      <w:r>
        <w:rPr>
          <w:b/>
        </w:rPr>
        <w:instrText xml:space="preserve"> SEQ Gambar_4. \* ARABIC </w:instrText>
      </w:r>
      <w:r>
        <w:rPr>
          <w:b/>
        </w:rPr>
        <w:fldChar w:fldCharType="separate"/>
      </w:r>
      <w:r>
        <w:rPr>
          <w:b/>
        </w:rPr>
        <w:t>4</w:t>
      </w:r>
      <w:r>
        <w:rPr>
          <w:b/>
        </w:rPr>
        <w:fldChar w:fldCharType="end"/>
      </w:r>
      <w:r>
        <w:rPr>
          <w:b/>
          <w:lang w:val="en-US"/>
        </w:rPr>
        <w:t xml:space="preserve">  Jejak pencarian algoritma pada proyeksi 3D fungsi </w:t>
      </w:r>
      <w:r>
        <w:rPr>
          <w:b/>
          <w:i/>
          <w:lang w:val="en-US"/>
        </w:rPr>
        <w:t>Ackley</w:t>
      </w:r>
      <w:bookmarkEnd w:id="85"/>
    </w:p>
    <w:p w14:paraId="41E3366C">
      <w:pPr>
        <w:ind w:firstLine="720"/>
        <w:rPr>
          <w:b/>
          <w:lang w:val="en-US"/>
        </w:rPr>
      </w:pPr>
      <w:r>
        <w:t>Visualisasi</w:t>
      </w:r>
      <w:r>
        <w:rPr>
          <w:lang w:val="en-US"/>
        </w:rPr>
        <w:t xml:space="preserve"> Jejak pencarian algoritma pada fungsi </w:t>
      </w:r>
      <w:r>
        <w:rPr>
          <w:i/>
          <w:lang w:val="en-US"/>
        </w:rPr>
        <w:t>Ackley</w:t>
      </w:r>
      <w:r>
        <w:rPr>
          <w:lang w:val="en-US"/>
        </w:rPr>
        <w:t xml:space="preserve"> pada Gambar 4. 3 dan 4. 4</w:t>
      </w:r>
      <w:r>
        <w:t xml:space="preserve"> menunjukkan bahwa IFPOA-X memiliki jangkauan eksplorasi yang lebih luas, kemudian mempersempit pencarian menuju optimum global, sedangkan FPA dan PSO cenderung mengalami stagnasi pada area yang belum optimal.</w:t>
      </w:r>
    </w:p>
    <w:p w14:paraId="44AB947E">
      <w:pPr>
        <w:pStyle w:val="5"/>
        <w:rPr>
          <w:b/>
          <w:i/>
        </w:rPr>
      </w:pPr>
      <w:r>
        <w:rPr>
          <w:rFonts w:cs="Times New Roman"/>
        </w:rPr>
        <w:drawing>
          <wp:inline distT="0" distB="0" distL="114300" distR="114300">
            <wp:extent cx="4930775" cy="1361440"/>
            <wp:effectExtent l="0" t="0" r="9525" b="10160"/>
            <wp:docPr id="30" name="Picture" descr="Jejak Pencarian Rast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Jejak Pencarian Rastrigin"/>
                    <pic:cNvPicPr>
                      <a:picLocks noChangeAspect="1" noChangeArrowheads="1"/>
                    </pic:cNvPicPr>
                  </pic:nvPicPr>
                  <pic:blipFill>
                    <a:blip r:embed="rId45"/>
                    <a:stretch>
                      <a:fillRect/>
                    </a:stretch>
                  </pic:blipFill>
                  <pic:spPr>
                    <a:xfrm>
                      <a:off x="0" y="0"/>
                      <a:ext cx="4930775" cy="1361440"/>
                    </a:xfrm>
                    <a:prstGeom prst="rect">
                      <a:avLst/>
                    </a:prstGeom>
                    <a:noFill/>
                    <a:ln w="9525">
                      <a:noFill/>
                    </a:ln>
                  </pic:spPr>
                </pic:pic>
              </a:graphicData>
            </a:graphic>
          </wp:inline>
        </w:drawing>
      </w:r>
    </w:p>
    <w:p w14:paraId="056C75A7">
      <w:pPr>
        <w:pStyle w:val="5"/>
        <w:jc w:val="center"/>
        <w:rPr>
          <w:b/>
          <w:iCs/>
          <w:lang w:val="en-US"/>
        </w:rPr>
      </w:pPr>
      <w:bookmarkStart w:id="86" w:name="_Toc236077416"/>
      <w:r>
        <w:rPr>
          <w:b/>
        </w:rPr>
        <w:t xml:space="preserve">Gambar 4. </w:t>
      </w:r>
      <w:r>
        <w:rPr>
          <w:b/>
        </w:rPr>
        <w:fldChar w:fldCharType="begin"/>
      </w:r>
      <w:r>
        <w:rPr>
          <w:b/>
        </w:rPr>
        <w:instrText xml:space="preserve"> SEQ Gambar_4. \* ARABIC </w:instrText>
      </w:r>
      <w:r>
        <w:rPr>
          <w:b/>
        </w:rPr>
        <w:fldChar w:fldCharType="separate"/>
      </w:r>
      <w:r>
        <w:rPr>
          <w:b/>
        </w:rPr>
        <w:t>5</w:t>
      </w:r>
      <w:r>
        <w:rPr>
          <w:b/>
        </w:rPr>
        <w:fldChar w:fldCharType="end"/>
      </w:r>
      <w:r>
        <w:rPr>
          <w:b/>
          <w:lang w:val="en-US"/>
        </w:rPr>
        <w:t xml:space="preserve"> Jejak pencarian algoritma pada proyeksi 2D fungsi </w:t>
      </w:r>
      <w:r>
        <w:rPr>
          <w:b/>
          <w:i/>
          <w:iCs/>
          <w:lang w:val="en-US"/>
        </w:rPr>
        <w:t>Rastrigin</w:t>
      </w:r>
      <w:bookmarkEnd w:id="86"/>
    </w:p>
    <w:p w14:paraId="2CEA2CE9">
      <w:pPr>
        <w:pStyle w:val="5"/>
        <w:rPr>
          <w:rFonts w:cs="Times New Roman"/>
          <w:lang w:val="en-US"/>
        </w:rPr>
      </w:pPr>
      <w:r>
        <w:rPr>
          <w:rFonts w:cs="Times New Roman"/>
          <w:lang w:val="en-US"/>
        </w:rPr>
        <w:drawing>
          <wp:inline distT="0" distB="0" distL="114300" distR="114300">
            <wp:extent cx="5028565" cy="1623060"/>
            <wp:effectExtent l="0" t="0" r="635" b="2540"/>
            <wp:docPr id="32" name="Picture 32" descr="landscape_3d_rast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andscape_3d_rastrigin"/>
                    <pic:cNvPicPr>
                      <a:picLocks noChangeAspect="1"/>
                    </pic:cNvPicPr>
                  </pic:nvPicPr>
                  <pic:blipFill>
                    <a:blip r:embed="rId46"/>
                    <a:stretch>
                      <a:fillRect/>
                    </a:stretch>
                  </pic:blipFill>
                  <pic:spPr>
                    <a:xfrm>
                      <a:off x="0" y="0"/>
                      <a:ext cx="5028565" cy="1623060"/>
                    </a:xfrm>
                    <a:prstGeom prst="rect">
                      <a:avLst/>
                    </a:prstGeom>
                  </pic:spPr>
                </pic:pic>
              </a:graphicData>
            </a:graphic>
          </wp:inline>
        </w:drawing>
      </w:r>
    </w:p>
    <w:p w14:paraId="2EC9A4B0">
      <w:pPr>
        <w:pStyle w:val="11"/>
        <w:keepNext/>
        <w:jc w:val="center"/>
        <w:rPr>
          <w:b/>
          <w:i w:val="0"/>
          <w:color w:val="auto"/>
          <w:sz w:val="24"/>
          <w:lang w:val="en-US"/>
        </w:rPr>
      </w:pPr>
      <w:bookmarkStart w:id="87" w:name="_Toc236077417"/>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lang w:val="en-US"/>
        </w:rPr>
        <w:t xml:space="preserve">  Jejak pencarian algoritma pada proyeksi 3D fungsi </w:t>
      </w:r>
      <w:r>
        <w:rPr>
          <w:b/>
          <w:iCs w:val="0"/>
          <w:color w:val="auto"/>
          <w:sz w:val="24"/>
          <w:lang w:val="en-US"/>
        </w:rPr>
        <w:t>Rastrigin</w:t>
      </w:r>
      <w:bookmarkEnd w:id="87"/>
    </w:p>
    <w:p w14:paraId="08BFB6B4">
      <w:pPr>
        <w:spacing w:after="0"/>
        <w:ind w:firstLine="720"/>
        <w:rPr>
          <w:lang w:val="en-US"/>
        </w:rPr>
      </w:pPr>
      <w:r>
        <w:t>Visualisasi</w:t>
      </w:r>
      <w:r>
        <w:rPr>
          <w:lang w:val="en-US"/>
        </w:rPr>
        <w:t xml:space="preserve"> Jejak pencarian algoritma pada fungsi </w:t>
      </w:r>
      <w:r>
        <w:rPr>
          <w:i/>
          <w:lang w:val="en-US"/>
        </w:rPr>
        <w:t>Rastrigin</w:t>
      </w:r>
      <w:r>
        <w:t xml:space="preserve"> </w:t>
      </w:r>
      <w:r>
        <w:rPr>
          <w:lang w:val="en-US"/>
        </w:rPr>
        <w:t xml:space="preserve">pada Gambar 4. 4 dan 4. 6 </w:t>
      </w:r>
      <w:r>
        <w:t>menunjukkan bahwa IFPOA-X mampu mengikuti lembah sempit menuju optimum global secara bertahap, sedangkan FPA dan PSO lebih cepat mengalami stagnasi sebelum mencapai</w:t>
      </w:r>
      <w:r>
        <w:rPr>
          <w:lang w:val="en-US"/>
        </w:rPr>
        <w:t xml:space="preserve"> solusi terbaik.</w:t>
      </w:r>
    </w:p>
    <w:p w14:paraId="1FEE3BCE">
      <w:pPr>
        <w:spacing w:after="0"/>
        <w:ind w:firstLine="720"/>
        <w:rPr>
          <w:lang w:val="en-US"/>
        </w:rPr>
      </w:pPr>
      <w:r>
        <w:rPr>
          <w:lang w:val="en-US"/>
        </w:rPr>
        <w:t>Hasil tersebut menunjukkan bahwa konfigurasi lengkap IFPOA-X mampu mempertahankan eksplorasi lebih lama dan menghasilkan solusi yang lebih dekat terhadap optimum global dibandingkan FPA dan PSO. Namun, hasil pengujian konfigurasi lengkap belum dapat digunakan untuk menyimpulkan bahwa OBL, UCB1, dan JADE memberikan kontribusi positif yang sama besar. Atribusi terhadap masing-masing mekanisme dilakukan secara khusus melalui studi ablasi pada Subbab 4.1.4.</w:t>
      </w:r>
    </w:p>
    <w:p w14:paraId="3DD0C4CC">
      <w:pPr>
        <w:pStyle w:val="4"/>
      </w:pPr>
      <w:bookmarkStart w:id="88" w:name="_Toc236076752"/>
      <w:r>
        <w:t>4.1.</w:t>
      </w:r>
      <w:r>
        <w:rPr>
          <w:lang w:val="en-US"/>
        </w:rPr>
        <w:t>2</w:t>
      </w:r>
      <w:r>
        <w:t xml:space="preserve"> Analisis Hasil Uji pada Fungsi Unimodal (</w:t>
      </w:r>
      <w:r>
        <w:rPr>
          <w:i/>
          <w:iCs/>
        </w:rPr>
        <w:t>Rosenbrock</w:t>
      </w:r>
      <w:r>
        <w:t>)</w:t>
      </w:r>
      <w:bookmarkEnd w:id="88"/>
    </w:p>
    <w:p w14:paraId="0D1AA2CD">
      <w:pPr>
        <w:ind w:firstLine="720"/>
        <w:rPr>
          <w:rFonts w:cs="Times New Roman"/>
        </w:rPr>
      </w:pPr>
      <w:r>
        <w:rPr>
          <w:rFonts w:cs="Times New Roman"/>
        </w:rPr>
        <w:t xml:space="preserve">Dalam </w:t>
      </w:r>
      <w:r>
        <w:rPr>
          <w:rFonts w:cs="Times New Roman"/>
          <w:lang w:val="en-US"/>
        </w:rPr>
        <w:t xml:space="preserve">fungsi </w:t>
      </w:r>
      <w:r>
        <w:rPr>
          <w:rFonts w:cs="Times New Roman"/>
          <w:i/>
          <w:iCs/>
          <w:lang w:val="en-US"/>
        </w:rPr>
        <w:t>Rosenbrock,</w:t>
      </w:r>
      <w:r>
        <w:rPr>
          <w:rFonts w:cs="Times New Roman"/>
        </w:rPr>
        <w:t xml:space="preserve"> IFPOA-X mencapai median </w:t>
      </w:r>
      <m:oMath>
        <m:r>
          <m:rPr>
            <m:nor/>
            <m:sty m:val="p"/>
          </m:rPr>
          <w:rPr>
            <w:rFonts w:cs="Times New Roman"/>
          </w:rPr>
          <m:t>4,97×</m:t>
        </m:r>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1</m:t>
            </m:r>
            <m:ctrlPr>
              <w:rPr>
                <w:rFonts w:ascii="Cambria Math" w:hAnsi="Cambria Math" w:cs="Times New Roman"/>
              </w:rPr>
            </m:ctrlPr>
          </m:sup>
        </m:sSup>
      </m:oMath>
      <w:r>
        <w:rPr>
          <w:rFonts w:cs="Times New Roman"/>
        </w:rPr>
        <w:t xml:space="preserve"> dengan nilai terbaik </w:t>
      </w:r>
      <m:oMath>
        <m:r>
          <m:rPr>
            <m:nor/>
            <m:sty m:val="p"/>
          </m:rPr>
          <w:rPr>
            <w:rFonts w:cs="Times New Roman"/>
          </w:rPr>
          <m:t>4,88×</m:t>
        </m:r>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1</m:t>
            </m:r>
            <m:ctrlPr>
              <w:rPr>
                <w:rFonts w:ascii="Cambria Math" w:hAnsi="Cambria Math" w:cs="Times New Roman"/>
              </w:rPr>
            </m:ctrlPr>
          </m:sup>
        </m:sSup>
      </m:oMath>
      <w:r>
        <w:rPr>
          <w:rFonts w:cs="Times New Roman"/>
        </w:rPr>
        <w:t xml:space="preserve">, sedangkan FPA dan PSO terjebak pada orde </w:t>
      </w:r>
      <m:oMath>
        <m:sSup>
          <m:sSupPr>
            <m:ctrlPr>
              <w:rPr>
                <w:rFonts w:ascii="Cambria Math" w:hAnsi="Cambria Math" w:cs="Times New Roman"/>
              </w:rPr>
            </m:ctrlPr>
          </m:sSupPr>
          <m:e>
            <m:r>
              <m:rPr>
                <m:nor/>
                <m:sty m:val="p"/>
              </m:rPr>
              <w:rPr>
                <w:rFonts w:cs="Times New Roman"/>
              </w:rPr>
              <m:t>10</m:t>
            </m:r>
            <m:ctrlPr>
              <w:rPr>
                <w:rFonts w:ascii="Cambria Math" w:hAnsi="Cambria Math" w:cs="Times New Roman"/>
              </w:rPr>
            </m:ctrlPr>
          </m:e>
          <m:sup>
            <m:r>
              <m:rPr>
                <m:nor/>
                <m:sty m:val="p"/>
              </m:rPr>
              <w:rPr>
                <w:rFonts w:cs="Times New Roman"/>
              </w:rPr>
              <m:t>6</m:t>
            </m:r>
            <m:ctrlPr>
              <w:rPr>
                <w:rFonts w:ascii="Cambria Math" w:hAnsi="Cambria Math" w:cs="Times New Roman"/>
              </w:rPr>
            </m:ctrlPr>
          </m:sup>
        </m:sSup>
      </m:oMath>
      <w:r>
        <w:rPr>
          <w:rFonts w:cs="Times New Roman"/>
        </w:rPr>
        <w:t xml:space="preserve">. Pola konvergensi tersebut menunjukkan bahwa konfigurasi lengkap IFPOA-X mampu menelusuri lembah </w:t>
      </w:r>
      <w:r>
        <w:rPr>
          <w:rFonts w:cs="Times New Roman"/>
          <w:i/>
        </w:rPr>
        <w:t>Rosenbrock</w:t>
      </w:r>
      <w:r>
        <w:rPr>
          <w:rFonts w:cs="Times New Roman"/>
        </w:rPr>
        <w:t xml:space="preserve"> secara lebih efektif di bawah anggaran 500 NFE. Akan tetapi, hasil ini tidak dapat langsung diatribusikan kepada JADE-</w:t>
      </w:r>
      <w:r>
        <w:rPr>
          <w:rFonts w:cs="Times New Roman"/>
          <w:i/>
        </w:rPr>
        <w:t>style local search</w:t>
      </w:r>
      <w:r>
        <w:rPr>
          <w:rFonts w:cs="Times New Roman"/>
        </w:rPr>
        <w:t xml:space="preserve">. Hasil ablasi pada Subbab 4.1.4 justru menunjukkan bahwa pencopotan JADE memperbaiki kinerja pada sebagian besar fungsi uji. Oleh karena itu, keunggulan konfigurasi lengkap pada </w:t>
      </w:r>
      <w:r>
        <w:rPr>
          <w:rFonts w:cs="Times New Roman"/>
          <w:i/>
        </w:rPr>
        <w:t>Rosenbrock</w:t>
      </w:r>
      <w:r>
        <w:rPr>
          <w:rFonts w:cs="Times New Roman"/>
        </w:rPr>
        <w:t xml:space="preserve"> lebih tepat dipandang sebagai hasil interaksi seluruh mekanisme, dengan OBL sebagai komponen yang memberikan kontribusi paling konsisten.</w:t>
      </w:r>
    </w:p>
    <w:p w14:paraId="51E43A09">
      <w:pPr>
        <w:pStyle w:val="5"/>
        <w:jc w:val="center"/>
        <w:rPr>
          <w:rFonts w:cs="Times New Roman"/>
          <w:lang w:val="en-US"/>
        </w:rPr>
      </w:pPr>
      <w:r>
        <w:rPr>
          <w:rFonts w:cs="Times New Roman"/>
          <w:lang w:val="en-US"/>
        </w:rPr>
        <w:drawing>
          <wp:inline distT="0" distB="0" distL="114300" distR="114300">
            <wp:extent cx="4026535" cy="2407920"/>
            <wp:effectExtent l="0" t="0" r="0" b="0"/>
            <wp:docPr id="26" name="Picture 26" descr="rosenbr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rosenbrock"/>
                    <pic:cNvPicPr>
                      <a:picLocks noChangeAspect="1"/>
                    </pic:cNvPicPr>
                  </pic:nvPicPr>
                  <pic:blipFill>
                    <a:blip r:embed="rId47"/>
                    <a:stretch>
                      <a:fillRect/>
                    </a:stretch>
                  </pic:blipFill>
                  <pic:spPr>
                    <a:xfrm>
                      <a:off x="0" y="0"/>
                      <a:ext cx="4032721" cy="2411396"/>
                    </a:xfrm>
                    <a:prstGeom prst="rect">
                      <a:avLst/>
                    </a:prstGeom>
                  </pic:spPr>
                </pic:pic>
              </a:graphicData>
            </a:graphic>
          </wp:inline>
        </w:drawing>
      </w:r>
    </w:p>
    <w:p w14:paraId="3B934183">
      <w:pPr>
        <w:pStyle w:val="11"/>
        <w:keepNext/>
        <w:jc w:val="center"/>
        <w:rPr>
          <w:b/>
          <w:i w:val="0"/>
          <w:color w:val="auto"/>
          <w:sz w:val="24"/>
          <w:lang w:val="en-US"/>
        </w:rPr>
      </w:pPr>
      <w:bookmarkStart w:id="89" w:name="_Toc236077418"/>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7</w:t>
      </w:r>
      <w:r>
        <w:rPr>
          <w:b/>
          <w:i w:val="0"/>
          <w:color w:val="auto"/>
          <w:sz w:val="24"/>
        </w:rPr>
        <w:fldChar w:fldCharType="end"/>
      </w:r>
      <w:r>
        <w:rPr>
          <w:b/>
          <w:i w:val="0"/>
          <w:color w:val="auto"/>
          <w:sz w:val="24"/>
          <w:lang w:val="en-US"/>
        </w:rPr>
        <w:t xml:space="preserve"> Kurva konvergensi pada fungsi </w:t>
      </w:r>
      <w:r>
        <w:rPr>
          <w:b/>
          <w:color w:val="auto"/>
          <w:sz w:val="24"/>
          <w:lang w:val="en-US"/>
        </w:rPr>
        <w:t>Rosenbrock</w:t>
      </w:r>
      <w:bookmarkEnd w:id="89"/>
    </w:p>
    <w:p w14:paraId="1B451B0E">
      <w:pPr>
        <w:ind w:firstLine="720"/>
        <w:rPr>
          <w:rFonts w:cs="Times New Roman"/>
          <w:lang w:val="en-US"/>
        </w:rPr>
      </w:pPr>
      <w:r>
        <w:rPr>
          <w:rFonts w:cs="Times New Roman"/>
        </w:rPr>
        <w:t xml:space="preserve">Kurva konvergensi </w:t>
      </w:r>
      <w:r>
        <w:rPr>
          <w:rFonts w:cs="Times New Roman"/>
          <w:lang w:val="en-US"/>
        </w:rPr>
        <w:t xml:space="preserve">ada fungsi </w:t>
      </w:r>
      <w:r>
        <w:rPr>
          <w:rFonts w:cs="Times New Roman"/>
          <w:i/>
          <w:iCs/>
          <w:lang w:val="en-US"/>
        </w:rPr>
        <w:t xml:space="preserve">Rosenbrock </w:t>
      </w:r>
      <w:r>
        <w:rPr>
          <w:rFonts w:cs="Times New Roman"/>
        </w:rPr>
        <w:t>pada Gambar 4.</w:t>
      </w:r>
      <w:r>
        <w:rPr>
          <w:rFonts w:cs="Times New Roman"/>
          <w:lang w:val="en-US"/>
        </w:rPr>
        <w:t xml:space="preserve"> 7</w:t>
      </w:r>
      <w:r>
        <w:rPr>
          <w:rFonts w:cs="Times New Roman"/>
        </w:rPr>
        <w:t xml:space="preserve"> memperkuat temuan ini. </w:t>
      </w:r>
      <w:r>
        <w:rPr>
          <w:rFonts w:cs="Times New Roman"/>
          <w:lang w:val="en-US"/>
        </w:rPr>
        <w:t>K</w:t>
      </w:r>
      <w:r>
        <w:rPr>
          <w:rFonts w:cs="Times New Roman"/>
        </w:rPr>
        <w:t xml:space="preserve">urva IFPOA-X menurun secara konsisten hingga akhir anggaran, sedangkan kurva FPA dan PSO mengalami </w:t>
      </w:r>
      <w:r>
        <w:rPr>
          <w:rFonts w:cs="Times New Roman"/>
          <w:lang w:val="en-US"/>
        </w:rPr>
        <w:t xml:space="preserve">stagnan </w:t>
      </w:r>
      <w:r>
        <w:rPr>
          <w:rFonts w:cs="Times New Roman"/>
        </w:rPr>
        <w:t xml:space="preserve">dini setelah sekitar 100 evaluasi. Pola ini menunjukkan bahwa IFPOA-X mampu mempertahankan keseimbangan eksplorasi–eksploitasi hingga akhir tahap pencarian, sehingga tidak mengalami stagnasi prematur pada lanskap unimodal </w:t>
      </w:r>
      <w:r>
        <w:rPr>
          <w:rFonts w:cs="Times New Roman"/>
          <w:lang w:val="en-US"/>
        </w:rPr>
        <w:t>dalam kondisi terburuk.</w:t>
      </w:r>
    </w:p>
    <w:p w14:paraId="452BA11B">
      <w:pPr>
        <w:rPr>
          <w:b/>
          <w:i/>
        </w:rPr>
      </w:pPr>
      <w:r>
        <w:rPr>
          <w:b/>
          <w:i/>
        </w:rPr>
        <w:drawing>
          <wp:inline distT="0" distB="0" distL="114300" distR="114300">
            <wp:extent cx="4904105" cy="1352550"/>
            <wp:effectExtent l="0" t="0" r="10795" b="6350"/>
            <wp:docPr id="33" name="Picture" descr="Kontur Rosenbr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Kontur Rosenbrock"/>
                    <pic:cNvPicPr>
                      <a:picLocks noChangeAspect="1" noChangeArrowheads="1"/>
                    </pic:cNvPicPr>
                  </pic:nvPicPr>
                  <pic:blipFill>
                    <a:blip r:embed="rId48"/>
                    <a:stretch>
                      <a:fillRect/>
                    </a:stretch>
                  </pic:blipFill>
                  <pic:spPr>
                    <a:xfrm>
                      <a:off x="0" y="0"/>
                      <a:ext cx="4904105" cy="1352550"/>
                    </a:xfrm>
                    <a:prstGeom prst="rect">
                      <a:avLst/>
                    </a:prstGeom>
                    <a:noFill/>
                    <a:ln w="9525">
                      <a:noFill/>
                    </a:ln>
                  </pic:spPr>
                </pic:pic>
              </a:graphicData>
            </a:graphic>
          </wp:inline>
        </w:drawing>
      </w:r>
    </w:p>
    <w:p w14:paraId="35D06B6A">
      <w:pPr>
        <w:jc w:val="center"/>
        <w:rPr>
          <w:b/>
          <w:i/>
          <w:iCs/>
          <w:lang w:val="en-US"/>
        </w:rPr>
      </w:pPr>
      <w:bookmarkStart w:id="90" w:name="_Toc236077419"/>
      <w:r>
        <w:rPr>
          <w:b/>
        </w:rPr>
        <w:t xml:space="preserve">Gambar 4. </w:t>
      </w:r>
      <w:r>
        <w:rPr>
          <w:b/>
        </w:rPr>
        <w:fldChar w:fldCharType="begin"/>
      </w:r>
      <w:r>
        <w:rPr>
          <w:b/>
        </w:rPr>
        <w:instrText xml:space="preserve"> SEQ Gambar_4. \* ARABIC </w:instrText>
      </w:r>
      <w:r>
        <w:rPr>
          <w:b/>
        </w:rPr>
        <w:fldChar w:fldCharType="separate"/>
      </w:r>
      <w:r>
        <w:rPr>
          <w:b/>
        </w:rPr>
        <w:t>8</w:t>
      </w:r>
      <w:r>
        <w:rPr>
          <w:b/>
        </w:rPr>
        <w:fldChar w:fldCharType="end"/>
      </w:r>
      <w:r>
        <w:rPr>
          <w:b/>
          <w:lang w:val="en-US"/>
        </w:rPr>
        <w:t xml:space="preserve"> Jejak pencarian algoritma pada proyeksi 2D fungsi </w:t>
      </w:r>
      <w:r>
        <w:rPr>
          <w:b/>
          <w:i/>
          <w:iCs/>
          <w:lang w:val="en-US"/>
        </w:rPr>
        <w:t>Rosenbrock</w:t>
      </w:r>
      <w:bookmarkEnd w:id="90"/>
    </w:p>
    <w:p w14:paraId="17B59CD9">
      <w:pPr>
        <w:pStyle w:val="5"/>
        <w:jc w:val="center"/>
        <w:rPr>
          <w:b/>
          <w:i/>
        </w:rPr>
      </w:pPr>
      <w:r>
        <w:rPr>
          <w:rFonts w:cs="Times New Roman"/>
        </w:rPr>
        <w:drawing>
          <wp:inline distT="0" distB="0" distL="114300" distR="114300">
            <wp:extent cx="4693920" cy="1508760"/>
            <wp:effectExtent l="0" t="0" r="0" b="0"/>
            <wp:docPr id="34" name="Picture" descr="Permukaan 3-D Rosenbr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descr="Permukaan 3-D Rosenbrock"/>
                    <pic:cNvPicPr>
                      <a:picLocks noChangeAspect="1" noChangeArrowheads="1"/>
                    </pic:cNvPicPr>
                  </pic:nvPicPr>
                  <pic:blipFill>
                    <a:blip r:embed="rId49"/>
                    <a:stretch>
                      <a:fillRect/>
                    </a:stretch>
                  </pic:blipFill>
                  <pic:spPr>
                    <a:xfrm>
                      <a:off x="0" y="0"/>
                      <a:ext cx="4702270" cy="1511465"/>
                    </a:xfrm>
                    <a:prstGeom prst="rect">
                      <a:avLst/>
                    </a:prstGeom>
                    <a:noFill/>
                    <a:ln w="9525">
                      <a:noFill/>
                    </a:ln>
                  </pic:spPr>
                </pic:pic>
              </a:graphicData>
            </a:graphic>
          </wp:inline>
        </w:drawing>
      </w:r>
      <w:bookmarkStart w:id="91" w:name="_Toc236077420"/>
    </w:p>
    <w:p w14:paraId="2D4EF46B">
      <w:pPr>
        <w:pStyle w:val="5"/>
        <w:jc w:val="center"/>
        <w:rPr>
          <w:b/>
          <w:lang w:val="en-US"/>
        </w:rPr>
      </w:pPr>
      <w:r>
        <w:rPr>
          <w:b/>
        </w:rPr>
        <w:t xml:space="preserve">Gambar 4. </w:t>
      </w:r>
      <w:r>
        <w:rPr>
          <w:b/>
        </w:rPr>
        <w:fldChar w:fldCharType="begin"/>
      </w:r>
      <w:r>
        <w:rPr>
          <w:b/>
        </w:rPr>
        <w:instrText xml:space="preserve"> SEQ Gambar_4. \* ARABIC </w:instrText>
      </w:r>
      <w:r>
        <w:rPr>
          <w:b/>
        </w:rPr>
        <w:fldChar w:fldCharType="separate"/>
      </w:r>
      <w:r>
        <w:rPr>
          <w:b/>
        </w:rPr>
        <w:t>9</w:t>
      </w:r>
      <w:r>
        <w:rPr>
          <w:b/>
        </w:rPr>
        <w:fldChar w:fldCharType="end"/>
      </w:r>
      <w:r>
        <w:rPr>
          <w:b/>
          <w:lang w:val="en-US"/>
        </w:rPr>
        <w:t xml:space="preserve"> Jejak pencarian algoritma pada proyeksi 3D fungsi </w:t>
      </w:r>
      <w:r>
        <w:rPr>
          <w:b/>
          <w:i/>
          <w:iCs/>
          <w:lang w:val="en-US"/>
        </w:rPr>
        <w:t>Rosenbrock</w:t>
      </w:r>
      <w:bookmarkEnd w:id="91"/>
    </w:p>
    <w:p w14:paraId="49038091">
      <w:pPr>
        <w:ind w:firstLine="720"/>
        <w:rPr>
          <w:lang w:val="en-US"/>
        </w:rPr>
      </w:pPr>
      <w:r>
        <w:t>Visualisasi</w:t>
      </w:r>
      <w:r>
        <w:rPr>
          <w:lang w:val="en-US"/>
        </w:rPr>
        <w:t xml:space="preserve"> pencarian algoritma pada fungsi </w:t>
      </w:r>
      <w:r>
        <w:rPr>
          <w:i/>
          <w:lang w:val="en-US"/>
        </w:rPr>
        <w:t>Rosenbrock</w:t>
      </w:r>
      <w:r>
        <w:rPr>
          <w:lang w:val="en-US"/>
        </w:rPr>
        <w:t xml:space="preserve">  pada Gambar 4. 8 dan 4. 9</w:t>
      </w:r>
      <w:r>
        <w:t xml:space="preserve"> memperlihatkan bahwa IFPOA-X mampu menjelajahi berbagai optimum lokal dan kemudian memusatkan pencarian di sekitar optimum global, sementara FPA dan PSO cenderung berhenti pada salah satu optimum lokal.</w:t>
      </w:r>
    </w:p>
    <w:p w14:paraId="26681065">
      <w:pPr>
        <w:pStyle w:val="4"/>
      </w:pPr>
      <w:bookmarkStart w:id="92" w:name="_Toc236076753"/>
      <w:r>
        <w:t xml:space="preserve">4.1.3 Analisis Statistik dan Konvergensi Algoritma </w:t>
      </w:r>
      <w:bookmarkEnd w:id="92"/>
    </w:p>
    <w:p w14:paraId="0149C4BE">
      <w:pPr>
        <w:ind w:firstLine="720"/>
        <w:rPr>
          <w:rFonts w:cs="Times New Roman"/>
        </w:rPr>
      </w:pPr>
      <w:r>
        <w:rPr>
          <w:rFonts w:cs="Times New Roman"/>
        </w:rPr>
        <w:t xml:space="preserve">Setiap algoritma dijalankan sebanyak 20 kali secara independen karena proses pencarian metaheuristik mengandung unsur stokastik. Pengulangan tersebut dilakukan agar penilaian kinerja tidak hanya bergantung pada satu hasil percobaan. Ringkasan statistik nilai fungsi objektif akhir pada fungsi </w:t>
      </w:r>
      <w:r>
        <w:rPr>
          <w:rFonts w:cs="Times New Roman"/>
          <w:i/>
        </w:rPr>
        <w:t>Ackley, Rastrigin</w:t>
      </w:r>
      <w:r>
        <w:rPr>
          <w:rFonts w:cs="Times New Roman"/>
        </w:rPr>
        <w:t xml:space="preserve">, dan </w:t>
      </w:r>
      <w:r>
        <w:rPr>
          <w:rFonts w:cs="Times New Roman"/>
          <w:i/>
        </w:rPr>
        <w:t>Rosenbrock</w:t>
      </w:r>
      <w:r>
        <w:rPr>
          <w:rFonts w:cs="Times New Roman"/>
        </w:rPr>
        <w:t xml:space="preserve"> disajikan pada Tabel 4.1. Karena ketiga fungsi tersebut merupakan permasalahan minimisasi, nilai fungsi objektif yang lebih rendah menunjukkan solusi yang lebih dekat terhadap optimum global.</w:t>
      </w:r>
    </w:p>
    <w:p w14:paraId="060D5C88">
      <w:pPr>
        <w:pStyle w:val="11"/>
        <w:keepNext/>
        <w:jc w:val="center"/>
        <w:rPr>
          <w:b/>
          <w:i w:val="0"/>
          <w:color w:val="auto"/>
          <w:sz w:val="24"/>
          <w:lang w:val="en-US"/>
        </w:rPr>
      </w:pPr>
      <w:bookmarkStart w:id="93" w:name="_Toc236786424"/>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lang w:val="en-US"/>
        </w:rPr>
        <w:t xml:space="preserve"> Statistik Deskriptif Nilai Akhir</w:t>
      </w:r>
      <w:bookmarkEnd w:id="93"/>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2"/>
        <w:gridCol w:w="1094"/>
        <w:gridCol w:w="1131"/>
        <w:gridCol w:w="1134"/>
        <w:gridCol w:w="1134"/>
        <w:gridCol w:w="1134"/>
        <w:gridCol w:w="1121"/>
      </w:tblGrid>
      <w:tr w14:paraId="3742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Align w:val="center"/>
          </w:tcPr>
          <w:p w14:paraId="20883268">
            <w:pPr>
              <w:jc w:val="center"/>
              <w:rPr>
                <w:b/>
                <w:i/>
                <w:sz w:val="20"/>
              </w:rPr>
            </w:pPr>
            <w:r>
              <w:rPr>
                <w:b/>
                <w:sz w:val="20"/>
              </w:rPr>
              <w:t>Fungsi</w:t>
            </w:r>
          </w:p>
        </w:tc>
        <w:tc>
          <w:tcPr>
            <w:tcW w:w="1094" w:type="dxa"/>
            <w:vAlign w:val="center"/>
          </w:tcPr>
          <w:p w14:paraId="24028E4F">
            <w:pPr>
              <w:jc w:val="center"/>
              <w:rPr>
                <w:b/>
                <w:i/>
                <w:sz w:val="20"/>
              </w:rPr>
            </w:pPr>
            <w:r>
              <w:rPr>
                <w:b/>
                <w:sz w:val="20"/>
              </w:rPr>
              <w:t>Algoritma</w:t>
            </w:r>
          </w:p>
        </w:tc>
        <w:tc>
          <w:tcPr>
            <w:tcW w:w="1131" w:type="dxa"/>
            <w:vAlign w:val="center"/>
          </w:tcPr>
          <w:p w14:paraId="111A2DF7">
            <w:pPr>
              <w:jc w:val="center"/>
              <w:rPr>
                <w:b/>
                <w:i/>
                <w:sz w:val="20"/>
              </w:rPr>
            </w:pPr>
            <w:r>
              <w:rPr>
                <w:b/>
                <w:sz w:val="20"/>
              </w:rPr>
              <w:t>Terbaik</w:t>
            </w:r>
          </w:p>
        </w:tc>
        <w:tc>
          <w:tcPr>
            <w:tcW w:w="1134" w:type="dxa"/>
            <w:vAlign w:val="center"/>
          </w:tcPr>
          <w:p w14:paraId="34621839">
            <w:pPr>
              <w:jc w:val="center"/>
              <w:rPr>
                <w:b/>
                <w:i/>
                <w:sz w:val="20"/>
              </w:rPr>
            </w:pPr>
            <w:r>
              <w:rPr>
                <w:b/>
                <w:sz w:val="20"/>
              </w:rPr>
              <w:t>Terburuk</w:t>
            </w:r>
          </w:p>
        </w:tc>
        <w:tc>
          <w:tcPr>
            <w:tcW w:w="1134" w:type="dxa"/>
            <w:vAlign w:val="center"/>
          </w:tcPr>
          <w:p w14:paraId="32482517">
            <w:pPr>
              <w:jc w:val="center"/>
              <w:rPr>
                <w:b/>
                <w:i/>
                <w:sz w:val="20"/>
              </w:rPr>
            </w:pPr>
            <w:r>
              <w:rPr>
                <w:b/>
                <w:sz w:val="20"/>
              </w:rPr>
              <w:t>Rata-rata</w:t>
            </w:r>
          </w:p>
        </w:tc>
        <w:tc>
          <w:tcPr>
            <w:tcW w:w="1134" w:type="dxa"/>
            <w:vAlign w:val="center"/>
          </w:tcPr>
          <w:p w14:paraId="14C3A9CB">
            <w:pPr>
              <w:jc w:val="center"/>
              <w:rPr>
                <w:b/>
                <w:i/>
                <w:sz w:val="20"/>
              </w:rPr>
            </w:pPr>
            <w:r>
              <w:rPr>
                <w:b/>
                <w:sz w:val="20"/>
              </w:rPr>
              <w:t>Std. Deviasi</w:t>
            </w:r>
          </w:p>
        </w:tc>
        <w:tc>
          <w:tcPr>
            <w:tcW w:w="1121" w:type="dxa"/>
            <w:vAlign w:val="center"/>
          </w:tcPr>
          <w:p w14:paraId="31557A55">
            <w:pPr>
              <w:jc w:val="center"/>
              <w:rPr>
                <w:b/>
                <w:i/>
                <w:sz w:val="20"/>
              </w:rPr>
            </w:pPr>
            <w:r>
              <w:rPr>
                <w:b/>
                <w:sz w:val="20"/>
              </w:rPr>
              <w:t>Median</w:t>
            </w:r>
          </w:p>
        </w:tc>
      </w:tr>
      <w:tr w14:paraId="183F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restart"/>
            <w:vAlign w:val="center"/>
          </w:tcPr>
          <w:p w14:paraId="1BCFD910">
            <w:pPr>
              <w:jc w:val="center"/>
              <w:rPr>
                <w:i/>
                <w:sz w:val="20"/>
              </w:rPr>
            </w:pPr>
            <w:r>
              <w:rPr>
                <w:i/>
                <w:sz w:val="20"/>
              </w:rPr>
              <w:t>Ackley</w:t>
            </w:r>
          </w:p>
        </w:tc>
        <w:tc>
          <w:tcPr>
            <w:tcW w:w="1094" w:type="dxa"/>
            <w:vAlign w:val="center"/>
          </w:tcPr>
          <w:p w14:paraId="0FC6FDF4">
            <w:pPr>
              <w:jc w:val="center"/>
              <w:rPr>
                <w:i/>
                <w:sz w:val="20"/>
              </w:rPr>
            </w:pPr>
            <w:r>
              <w:rPr>
                <w:sz w:val="20"/>
              </w:rPr>
              <w:t>IFPOA-X</w:t>
            </w:r>
          </w:p>
        </w:tc>
        <w:tc>
          <w:tcPr>
            <w:tcW w:w="1131" w:type="dxa"/>
            <w:vAlign w:val="center"/>
          </w:tcPr>
          <w:p w14:paraId="60092386">
            <w:pPr>
              <w:jc w:val="center"/>
              <w:rPr>
                <w:i/>
                <w:sz w:val="20"/>
              </w:rPr>
            </w:pPr>
            <w:r>
              <w:rPr>
                <w:sz w:val="20"/>
              </w:rPr>
              <w:t>1,20 × 10⁻²</w:t>
            </w:r>
          </w:p>
        </w:tc>
        <w:tc>
          <w:tcPr>
            <w:tcW w:w="1134" w:type="dxa"/>
            <w:vAlign w:val="center"/>
          </w:tcPr>
          <w:p w14:paraId="59A4BA1F">
            <w:pPr>
              <w:jc w:val="center"/>
              <w:rPr>
                <w:i/>
                <w:sz w:val="20"/>
              </w:rPr>
            </w:pPr>
            <w:r>
              <w:rPr>
                <w:sz w:val="20"/>
              </w:rPr>
              <w:t>1,12 × 10⁰</w:t>
            </w:r>
          </w:p>
        </w:tc>
        <w:tc>
          <w:tcPr>
            <w:tcW w:w="1134" w:type="dxa"/>
            <w:vAlign w:val="center"/>
          </w:tcPr>
          <w:p w14:paraId="1F852D6D">
            <w:pPr>
              <w:jc w:val="center"/>
              <w:rPr>
                <w:i/>
                <w:sz w:val="20"/>
              </w:rPr>
            </w:pPr>
            <w:r>
              <w:rPr>
                <w:sz w:val="20"/>
              </w:rPr>
              <w:t>3,90 × 10⁻¹</w:t>
            </w:r>
          </w:p>
        </w:tc>
        <w:tc>
          <w:tcPr>
            <w:tcW w:w="1134" w:type="dxa"/>
            <w:vAlign w:val="center"/>
          </w:tcPr>
          <w:p w14:paraId="532C733B">
            <w:pPr>
              <w:jc w:val="center"/>
              <w:rPr>
                <w:i/>
                <w:sz w:val="20"/>
              </w:rPr>
            </w:pPr>
            <w:r>
              <w:rPr>
                <w:sz w:val="20"/>
              </w:rPr>
              <w:t>3,07 × 10⁻¹</w:t>
            </w:r>
          </w:p>
        </w:tc>
        <w:tc>
          <w:tcPr>
            <w:tcW w:w="1121" w:type="dxa"/>
            <w:vAlign w:val="center"/>
          </w:tcPr>
          <w:p w14:paraId="6B4D86F5">
            <w:pPr>
              <w:jc w:val="center"/>
              <w:rPr>
                <w:i/>
                <w:sz w:val="20"/>
              </w:rPr>
            </w:pPr>
            <w:r>
              <w:rPr>
                <w:sz w:val="20"/>
              </w:rPr>
              <w:t>4,25 × 10⁻¹</w:t>
            </w:r>
          </w:p>
        </w:tc>
      </w:tr>
      <w:tr w14:paraId="1245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4F96BC8E">
            <w:pPr>
              <w:jc w:val="center"/>
              <w:rPr>
                <w:i/>
                <w:sz w:val="20"/>
              </w:rPr>
            </w:pPr>
          </w:p>
        </w:tc>
        <w:tc>
          <w:tcPr>
            <w:tcW w:w="1094" w:type="dxa"/>
            <w:vAlign w:val="center"/>
          </w:tcPr>
          <w:p w14:paraId="64CC6C73">
            <w:pPr>
              <w:jc w:val="center"/>
              <w:rPr>
                <w:i/>
                <w:sz w:val="20"/>
              </w:rPr>
            </w:pPr>
            <w:r>
              <w:rPr>
                <w:sz w:val="20"/>
              </w:rPr>
              <w:t>FPA</w:t>
            </w:r>
          </w:p>
        </w:tc>
        <w:tc>
          <w:tcPr>
            <w:tcW w:w="1131" w:type="dxa"/>
            <w:vAlign w:val="center"/>
          </w:tcPr>
          <w:p w14:paraId="116961F4">
            <w:pPr>
              <w:jc w:val="center"/>
              <w:rPr>
                <w:i/>
                <w:sz w:val="20"/>
              </w:rPr>
            </w:pPr>
            <w:r>
              <w:rPr>
                <w:sz w:val="20"/>
              </w:rPr>
              <w:t>1,22 × 10¹</w:t>
            </w:r>
          </w:p>
        </w:tc>
        <w:tc>
          <w:tcPr>
            <w:tcW w:w="1134" w:type="dxa"/>
            <w:vAlign w:val="center"/>
          </w:tcPr>
          <w:p w14:paraId="12DF8FE1">
            <w:pPr>
              <w:jc w:val="center"/>
              <w:rPr>
                <w:i/>
                <w:sz w:val="20"/>
              </w:rPr>
            </w:pPr>
            <w:r>
              <w:rPr>
                <w:sz w:val="20"/>
              </w:rPr>
              <w:t>1,52 × 10¹</w:t>
            </w:r>
          </w:p>
        </w:tc>
        <w:tc>
          <w:tcPr>
            <w:tcW w:w="1134" w:type="dxa"/>
            <w:vAlign w:val="center"/>
          </w:tcPr>
          <w:p w14:paraId="259F7418">
            <w:pPr>
              <w:jc w:val="center"/>
              <w:rPr>
                <w:i/>
                <w:sz w:val="20"/>
              </w:rPr>
            </w:pPr>
            <w:r>
              <w:rPr>
                <w:sz w:val="20"/>
              </w:rPr>
              <w:t>1,36 × 10¹</w:t>
            </w:r>
          </w:p>
        </w:tc>
        <w:tc>
          <w:tcPr>
            <w:tcW w:w="1134" w:type="dxa"/>
            <w:vAlign w:val="center"/>
          </w:tcPr>
          <w:p w14:paraId="71358FE3">
            <w:pPr>
              <w:jc w:val="center"/>
              <w:rPr>
                <w:i/>
                <w:sz w:val="20"/>
              </w:rPr>
            </w:pPr>
            <w:r>
              <w:rPr>
                <w:sz w:val="20"/>
              </w:rPr>
              <w:t>7,85 × 10⁻¹</w:t>
            </w:r>
          </w:p>
        </w:tc>
        <w:tc>
          <w:tcPr>
            <w:tcW w:w="1121" w:type="dxa"/>
            <w:vAlign w:val="center"/>
          </w:tcPr>
          <w:p w14:paraId="2EDDE922">
            <w:pPr>
              <w:jc w:val="center"/>
              <w:rPr>
                <w:i/>
                <w:sz w:val="20"/>
              </w:rPr>
            </w:pPr>
            <w:r>
              <w:rPr>
                <w:sz w:val="20"/>
              </w:rPr>
              <w:t>1,37 × 10¹</w:t>
            </w:r>
          </w:p>
        </w:tc>
      </w:tr>
      <w:tr w14:paraId="7D63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1030E239">
            <w:pPr>
              <w:jc w:val="center"/>
              <w:rPr>
                <w:i/>
                <w:sz w:val="20"/>
              </w:rPr>
            </w:pPr>
          </w:p>
        </w:tc>
        <w:tc>
          <w:tcPr>
            <w:tcW w:w="1094" w:type="dxa"/>
            <w:vAlign w:val="center"/>
          </w:tcPr>
          <w:p w14:paraId="3E634C7F">
            <w:pPr>
              <w:jc w:val="center"/>
              <w:rPr>
                <w:i/>
                <w:sz w:val="20"/>
              </w:rPr>
            </w:pPr>
            <w:r>
              <w:rPr>
                <w:sz w:val="20"/>
              </w:rPr>
              <w:t>PSO</w:t>
            </w:r>
          </w:p>
        </w:tc>
        <w:tc>
          <w:tcPr>
            <w:tcW w:w="1131" w:type="dxa"/>
            <w:vAlign w:val="center"/>
          </w:tcPr>
          <w:p w14:paraId="027A68ED">
            <w:pPr>
              <w:jc w:val="center"/>
              <w:rPr>
                <w:i/>
                <w:sz w:val="20"/>
              </w:rPr>
            </w:pPr>
            <w:r>
              <w:rPr>
                <w:sz w:val="20"/>
              </w:rPr>
              <w:t>1,16 × 10¹</w:t>
            </w:r>
          </w:p>
        </w:tc>
        <w:tc>
          <w:tcPr>
            <w:tcW w:w="1134" w:type="dxa"/>
            <w:vAlign w:val="center"/>
          </w:tcPr>
          <w:p w14:paraId="2D17F5D6">
            <w:pPr>
              <w:jc w:val="center"/>
              <w:rPr>
                <w:i/>
                <w:sz w:val="20"/>
              </w:rPr>
            </w:pPr>
            <w:r>
              <w:rPr>
                <w:sz w:val="20"/>
              </w:rPr>
              <w:t>1,46 × 10¹</w:t>
            </w:r>
          </w:p>
        </w:tc>
        <w:tc>
          <w:tcPr>
            <w:tcW w:w="1134" w:type="dxa"/>
            <w:vAlign w:val="center"/>
          </w:tcPr>
          <w:p w14:paraId="0B3ECCE4">
            <w:pPr>
              <w:jc w:val="center"/>
              <w:rPr>
                <w:i/>
                <w:sz w:val="20"/>
              </w:rPr>
            </w:pPr>
            <w:r>
              <w:rPr>
                <w:sz w:val="20"/>
              </w:rPr>
              <w:t>1,31 × 10¹</w:t>
            </w:r>
          </w:p>
        </w:tc>
        <w:tc>
          <w:tcPr>
            <w:tcW w:w="1134" w:type="dxa"/>
            <w:vAlign w:val="center"/>
          </w:tcPr>
          <w:p w14:paraId="03470F83">
            <w:pPr>
              <w:jc w:val="center"/>
              <w:rPr>
                <w:i/>
                <w:sz w:val="20"/>
              </w:rPr>
            </w:pPr>
            <w:r>
              <w:rPr>
                <w:sz w:val="20"/>
              </w:rPr>
              <w:t>7,85 × 10⁻¹</w:t>
            </w:r>
          </w:p>
        </w:tc>
        <w:tc>
          <w:tcPr>
            <w:tcW w:w="1121" w:type="dxa"/>
            <w:vAlign w:val="center"/>
          </w:tcPr>
          <w:p w14:paraId="582ACF68">
            <w:pPr>
              <w:jc w:val="center"/>
              <w:rPr>
                <w:i/>
                <w:sz w:val="20"/>
              </w:rPr>
            </w:pPr>
            <w:r>
              <w:rPr>
                <w:sz w:val="20"/>
              </w:rPr>
              <w:t>1,29 × 10¹</w:t>
            </w:r>
          </w:p>
        </w:tc>
      </w:tr>
      <w:tr w14:paraId="1368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restart"/>
            <w:vAlign w:val="center"/>
          </w:tcPr>
          <w:p w14:paraId="75C3CF82">
            <w:pPr>
              <w:jc w:val="center"/>
              <w:rPr>
                <w:i/>
                <w:sz w:val="20"/>
              </w:rPr>
            </w:pPr>
            <w:r>
              <w:rPr>
                <w:i/>
                <w:sz w:val="20"/>
              </w:rPr>
              <w:t>Rastrigin</w:t>
            </w:r>
          </w:p>
        </w:tc>
        <w:tc>
          <w:tcPr>
            <w:tcW w:w="1094" w:type="dxa"/>
            <w:vAlign w:val="center"/>
          </w:tcPr>
          <w:p w14:paraId="73FC983F">
            <w:pPr>
              <w:jc w:val="center"/>
              <w:rPr>
                <w:i/>
                <w:sz w:val="20"/>
              </w:rPr>
            </w:pPr>
            <w:r>
              <w:rPr>
                <w:sz w:val="20"/>
              </w:rPr>
              <w:t>IFPOA-X</w:t>
            </w:r>
          </w:p>
        </w:tc>
        <w:tc>
          <w:tcPr>
            <w:tcW w:w="1131" w:type="dxa"/>
            <w:vAlign w:val="center"/>
          </w:tcPr>
          <w:p w14:paraId="3C69A9FD">
            <w:pPr>
              <w:jc w:val="center"/>
              <w:rPr>
                <w:i/>
                <w:sz w:val="20"/>
              </w:rPr>
            </w:pPr>
            <w:r>
              <w:rPr>
                <w:sz w:val="20"/>
              </w:rPr>
              <w:t>7,14 × 10⁻⁵</w:t>
            </w:r>
          </w:p>
        </w:tc>
        <w:tc>
          <w:tcPr>
            <w:tcW w:w="1134" w:type="dxa"/>
            <w:vAlign w:val="center"/>
          </w:tcPr>
          <w:p w14:paraId="3CAB278D">
            <w:pPr>
              <w:jc w:val="center"/>
              <w:rPr>
                <w:i/>
                <w:sz w:val="20"/>
              </w:rPr>
            </w:pPr>
            <w:r>
              <w:rPr>
                <w:sz w:val="20"/>
              </w:rPr>
              <w:t>1,13 × 10¹</w:t>
            </w:r>
          </w:p>
        </w:tc>
        <w:tc>
          <w:tcPr>
            <w:tcW w:w="1134" w:type="dxa"/>
            <w:vAlign w:val="center"/>
          </w:tcPr>
          <w:p w14:paraId="0D19217F">
            <w:pPr>
              <w:jc w:val="center"/>
              <w:rPr>
                <w:i/>
                <w:sz w:val="20"/>
              </w:rPr>
            </w:pPr>
            <w:r>
              <w:rPr>
                <w:sz w:val="20"/>
              </w:rPr>
              <w:t>1,38 × 10⁰</w:t>
            </w:r>
          </w:p>
        </w:tc>
        <w:tc>
          <w:tcPr>
            <w:tcW w:w="1134" w:type="dxa"/>
            <w:vAlign w:val="center"/>
          </w:tcPr>
          <w:p w14:paraId="1826AD60">
            <w:pPr>
              <w:jc w:val="center"/>
              <w:rPr>
                <w:i/>
                <w:sz w:val="20"/>
              </w:rPr>
            </w:pPr>
            <w:r>
              <w:rPr>
                <w:sz w:val="20"/>
              </w:rPr>
              <w:t>2,84 × 10⁰</w:t>
            </w:r>
          </w:p>
        </w:tc>
        <w:tc>
          <w:tcPr>
            <w:tcW w:w="1121" w:type="dxa"/>
            <w:vAlign w:val="center"/>
          </w:tcPr>
          <w:p w14:paraId="1ED6041C">
            <w:pPr>
              <w:jc w:val="center"/>
              <w:rPr>
                <w:i/>
                <w:sz w:val="20"/>
              </w:rPr>
            </w:pPr>
            <w:r>
              <w:rPr>
                <w:sz w:val="20"/>
              </w:rPr>
              <w:t>1,10 × 10⁻¹</w:t>
            </w:r>
          </w:p>
        </w:tc>
      </w:tr>
      <w:tr w14:paraId="65E3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25D98041">
            <w:pPr>
              <w:jc w:val="center"/>
              <w:rPr>
                <w:i/>
                <w:sz w:val="20"/>
              </w:rPr>
            </w:pPr>
          </w:p>
        </w:tc>
        <w:tc>
          <w:tcPr>
            <w:tcW w:w="1094" w:type="dxa"/>
            <w:vAlign w:val="center"/>
          </w:tcPr>
          <w:p w14:paraId="241A0087">
            <w:pPr>
              <w:jc w:val="center"/>
              <w:rPr>
                <w:i/>
                <w:sz w:val="20"/>
              </w:rPr>
            </w:pPr>
            <w:r>
              <w:rPr>
                <w:sz w:val="20"/>
              </w:rPr>
              <w:t>FPA</w:t>
            </w:r>
          </w:p>
        </w:tc>
        <w:tc>
          <w:tcPr>
            <w:tcW w:w="1131" w:type="dxa"/>
            <w:vAlign w:val="center"/>
          </w:tcPr>
          <w:p w14:paraId="1492F664">
            <w:pPr>
              <w:jc w:val="center"/>
              <w:rPr>
                <w:i/>
                <w:sz w:val="20"/>
              </w:rPr>
            </w:pPr>
            <w:r>
              <w:rPr>
                <w:sz w:val="20"/>
              </w:rPr>
              <w:t>3,71 × 10²</w:t>
            </w:r>
          </w:p>
        </w:tc>
        <w:tc>
          <w:tcPr>
            <w:tcW w:w="1134" w:type="dxa"/>
            <w:vAlign w:val="center"/>
          </w:tcPr>
          <w:p w14:paraId="65030868">
            <w:pPr>
              <w:jc w:val="center"/>
              <w:rPr>
                <w:i/>
                <w:sz w:val="20"/>
              </w:rPr>
            </w:pPr>
            <w:r>
              <w:rPr>
                <w:sz w:val="20"/>
              </w:rPr>
              <w:t>4,71 × 10²</w:t>
            </w:r>
          </w:p>
        </w:tc>
        <w:tc>
          <w:tcPr>
            <w:tcW w:w="1134" w:type="dxa"/>
            <w:vAlign w:val="center"/>
          </w:tcPr>
          <w:p w14:paraId="406672D2">
            <w:pPr>
              <w:jc w:val="center"/>
              <w:rPr>
                <w:i/>
                <w:sz w:val="20"/>
              </w:rPr>
            </w:pPr>
            <w:r>
              <w:rPr>
                <w:sz w:val="20"/>
              </w:rPr>
              <w:t>4,17 × 10²</w:t>
            </w:r>
          </w:p>
        </w:tc>
        <w:tc>
          <w:tcPr>
            <w:tcW w:w="1134" w:type="dxa"/>
            <w:vAlign w:val="center"/>
          </w:tcPr>
          <w:p w14:paraId="354FB17D">
            <w:pPr>
              <w:jc w:val="center"/>
              <w:rPr>
                <w:i/>
                <w:sz w:val="20"/>
              </w:rPr>
            </w:pPr>
            <w:r>
              <w:rPr>
                <w:sz w:val="20"/>
              </w:rPr>
              <w:t>2,72 × 10¹</w:t>
            </w:r>
          </w:p>
        </w:tc>
        <w:tc>
          <w:tcPr>
            <w:tcW w:w="1121" w:type="dxa"/>
            <w:vAlign w:val="center"/>
          </w:tcPr>
          <w:p w14:paraId="4D58E206">
            <w:pPr>
              <w:jc w:val="center"/>
              <w:rPr>
                <w:i/>
                <w:sz w:val="20"/>
              </w:rPr>
            </w:pPr>
            <w:r>
              <w:rPr>
                <w:sz w:val="20"/>
              </w:rPr>
              <w:t>4,18 × 10²</w:t>
            </w:r>
          </w:p>
        </w:tc>
      </w:tr>
      <w:tr w14:paraId="2CB6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72943373">
            <w:pPr>
              <w:jc w:val="center"/>
              <w:rPr>
                <w:i/>
                <w:sz w:val="20"/>
              </w:rPr>
            </w:pPr>
          </w:p>
        </w:tc>
        <w:tc>
          <w:tcPr>
            <w:tcW w:w="1094" w:type="dxa"/>
            <w:vAlign w:val="center"/>
          </w:tcPr>
          <w:p w14:paraId="3A86B63E">
            <w:pPr>
              <w:jc w:val="center"/>
              <w:rPr>
                <w:i/>
                <w:sz w:val="20"/>
              </w:rPr>
            </w:pPr>
            <w:r>
              <w:rPr>
                <w:sz w:val="20"/>
              </w:rPr>
              <w:t>PSO</w:t>
            </w:r>
          </w:p>
        </w:tc>
        <w:tc>
          <w:tcPr>
            <w:tcW w:w="1131" w:type="dxa"/>
            <w:vAlign w:val="center"/>
          </w:tcPr>
          <w:p w14:paraId="5D0A3EEA">
            <w:pPr>
              <w:jc w:val="center"/>
              <w:rPr>
                <w:i/>
                <w:sz w:val="20"/>
              </w:rPr>
            </w:pPr>
            <w:r>
              <w:rPr>
                <w:sz w:val="20"/>
              </w:rPr>
              <w:t>3,21 × 10²</w:t>
            </w:r>
          </w:p>
        </w:tc>
        <w:tc>
          <w:tcPr>
            <w:tcW w:w="1134" w:type="dxa"/>
            <w:vAlign w:val="center"/>
          </w:tcPr>
          <w:p w14:paraId="6D1C8167">
            <w:pPr>
              <w:jc w:val="center"/>
              <w:rPr>
                <w:i/>
                <w:sz w:val="20"/>
              </w:rPr>
            </w:pPr>
            <w:r>
              <w:rPr>
                <w:sz w:val="20"/>
              </w:rPr>
              <w:t>4,52 × 10²</w:t>
            </w:r>
          </w:p>
        </w:tc>
        <w:tc>
          <w:tcPr>
            <w:tcW w:w="1134" w:type="dxa"/>
            <w:vAlign w:val="center"/>
          </w:tcPr>
          <w:p w14:paraId="799D49EB">
            <w:pPr>
              <w:jc w:val="center"/>
              <w:rPr>
                <w:i/>
                <w:sz w:val="20"/>
              </w:rPr>
            </w:pPr>
            <w:r>
              <w:rPr>
                <w:sz w:val="20"/>
              </w:rPr>
              <w:t>3,80 × 10²</w:t>
            </w:r>
          </w:p>
        </w:tc>
        <w:tc>
          <w:tcPr>
            <w:tcW w:w="1134" w:type="dxa"/>
            <w:vAlign w:val="center"/>
          </w:tcPr>
          <w:p w14:paraId="2229C62B">
            <w:pPr>
              <w:jc w:val="center"/>
              <w:rPr>
                <w:i/>
                <w:sz w:val="20"/>
              </w:rPr>
            </w:pPr>
            <w:r>
              <w:rPr>
                <w:sz w:val="20"/>
              </w:rPr>
              <w:t>4,15 × 10¹</w:t>
            </w:r>
          </w:p>
        </w:tc>
        <w:tc>
          <w:tcPr>
            <w:tcW w:w="1121" w:type="dxa"/>
            <w:vAlign w:val="center"/>
          </w:tcPr>
          <w:p w14:paraId="37A41499">
            <w:pPr>
              <w:jc w:val="center"/>
              <w:rPr>
                <w:i/>
                <w:sz w:val="20"/>
              </w:rPr>
            </w:pPr>
            <w:r>
              <w:rPr>
                <w:sz w:val="20"/>
              </w:rPr>
              <w:t>3,64 × 10²</w:t>
            </w:r>
          </w:p>
        </w:tc>
      </w:tr>
      <w:tr w14:paraId="3A73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restart"/>
            <w:vAlign w:val="center"/>
          </w:tcPr>
          <w:p w14:paraId="01E84652">
            <w:pPr>
              <w:jc w:val="center"/>
              <w:rPr>
                <w:i/>
                <w:sz w:val="20"/>
              </w:rPr>
            </w:pPr>
            <w:r>
              <w:rPr>
                <w:i/>
                <w:sz w:val="20"/>
              </w:rPr>
              <w:t>Rosenbrock</w:t>
            </w:r>
          </w:p>
        </w:tc>
        <w:tc>
          <w:tcPr>
            <w:tcW w:w="1094" w:type="dxa"/>
            <w:vAlign w:val="center"/>
          </w:tcPr>
          <w:p w14:paraId="46DE6725">
            <w:pPr>
              <w:jc w:val="center"/>
              <w:rPr>
                <w:i/>
                <w:sz w:val="20"/>
              </w:rPr>
            </w:pPr>
            <w:r>
              <w:rPr>
                <w:sz w:val="20"/>
              </w:rPr>
              <w:t>IFPOA-X</w:t>
            </w:r>
          </w:p>
        </w:tc>
        <w:tc>
          <w:tcPr>
            <w:tcW w:w="1131" w:type="dxa"/>
            <w:vAlign w:val="center"/>
          </w:tcPr>
          <w:p w14:paraId="5D27C87D">
            <w:pPr>
              <w:jc w:val="center"/>
              <w:rPr>
                <w:i/>
                <w:sz w:val="20"/>
              </w:rPr>
            </w:pPr>
            <w:r>
              <w:rPr>
                <w:sz w:val="20"/>
              </w:rPr>
              <w:t>4,88 × 10¹</w:t>
            </w:r>
          </w:p>
        </w:tc>
        <w:tc>
          <w:tcPr>
            <w:tcW w:w="1134" w:type="dxa"/>
            <w:vAlign w:val="center"/>
          </w:tcPr>
          <w:p w14:paraId="5A435048">
            <w:pPr>
              <w:jc w:val="center"/>
              <w:rPr>
                <w:i/>
                <w:sz w:val="20"/>
              </w:rPr>
            </w:pPr>
            <w:r>
              <w:rPr>
                <w:sz w:val="20"/>
              </w:rPr>
              <w:t>1,87 × 10³</w:t>
            </w:r>
          </w:p>
        </w:tc>
        <w:tc>
          <w:tcPr>
            <w:tcW w:w="1134" w:type="dxa"/>
            <w:vAlign w:val="center"/>
          </w:tcPr>
          <w:p w14:paraId="636BB112">
            <w:pPr>
              <w:jc w:val="center"/>
              <w:rPr>
                <w:i/>
                <w:sz w:val="20"/>
              </w:rPr>
            </w:pPr>
            <w:r>
              <w:rPr>
                <w:sz w:val="20"/>
              </w:rPr>
              <w:t>1,55 × 10²</w:t>
            </w:r>
          </w:p>
        </w:tc>
        <w:tc>
          <w:tcPr>
            <w:tcW w:w="1134" w:type="dxa"/>
            <w:vAlign w:val="center"/>
          </w:tcPr>
          <w:p w14:paraId="3574F45A">
            <w:pPr>
              <w:jc w:val="center"/>
              <w:rPr>
                <w:i/>
                <w:sz w:val="20"/>
              </w:rPr>
            </w:pPr>
            <w:r>
              <w:rPr>
                <w:sz w:val="20"/>
              </w:rPr>
              <w:t>3,97 × 10²</w:t>
            </w:r>
          </w:p>
        </w:tc>
        <w:tc>
          <w:tcPr>
            <w:tcW w:w="1121" w:type="dxa"/>
            <w:vAlign w:val="center"/>
          </w:tcPr>
          <w:p w14:paraId="62CF015A">
            <w:pPr>
              <w:jc w:val="center"/>
              <w:rPr>
                <w:i/>
                <w:sz w:val="20"/>
              </w:rPr>
            </w:pPr>
            <w:r>
              <w:rPr>
                <w:sz w:val="20"/>
              </w:rPr>
              <w:t>4,97 × 10¹</w:t>
            </w:r>
          </w:p>
        </w:tc>
      </w:tr>
      <w:tr w14:paraId="3CB4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058D0B7F">
            <w:pPr>
              <w:jc w:val="center"/>
              <w:rPr>
                <w:i/>
                <w:sz w:val="20"/>
              </w:rPr>
            </w:pPr>
          </w:p>
        </w:tc>
        <w:tc>
          <w:tcPr>
            <w:tcW w:w="1094" w:type="dxa"/>
            <w:vAlign w:val="center"/>
          </w:tcPr>
          <w:p w14:paraId="0EFEAABB">
            <w:pPr>
              <w:jc w:val="center"/>
              <w:rPr>
                <w:i/>
                <w:sz w:val="20"/>
              </w:rPr>
            </w:pPr>
            <w:r>
              <w:rPr>
                <w:sz w:val="20"/>
              </w:rPr>
              <w:t>FPA</w:t>
            </w:r>
          </w:p>
        </w:tc>
        <w:tc>
          <w:tcPr>
            <w:tcW w:w="1131" w:type="dxa"/>
            <w:vAlign w:val="center"/>
          </w:tcPr>
          <w:p w14:paraId="5AE8861F">
            <w:pPr>
              <w:jc w:val="center"/>
              <w:rPr>
                <w:i/>
                <w:sz w:val="20"/>
              </w:rPr>
            </w:pPr>
            <w:r>
              <w:rPr>
                <w:sz w:val="20"/>
              </w:rPr>
              <w:t>7,17 × 10⁵</w:t>
            </w:r>
          </w:p>
        </w:tc>
        <w:tc>
          <w:tcPr>
            <w:tcW w:w="1134" w:type="dxa"/>
            <w:vAlign w:val="center"/>
          </w:tcPr>
          <w:p w14:paraId="256E4A53">
            <w:pPr>
              <w:jc w:val="center"/>
              <w:rPr>
                <w:i/>
                <w:sz w:val="20"/>
              </w:rPr>
            </w:pPr>
            <w:r>
              <w:rPr>
                <w:sz w:val="20"/>
              </w:rPr>
              <w:t>9,46 × 10⁶</w:t>
            </w:r>
          </w:p>
        </w:tc>
        <w:tc>
          <w:tcPr>
            <w:tcW w:w="1134" w:type="dxa"/>
            <w:vAlign w:val="center"/>
          </w:tcPr>
          <w:p w14:paraId="13261DAF">
            <w:pPr>
              <w:jc w:val="center"/>
              <w:rPr>
                <w:i/>
                <w:sz w:val="20"/>
              </w:rPr>
            </w:pPr>
            <w:r>
              <w:rPr>
                <w:sz w:val="20"/>
              </w:rPr>
              <w:t>4,75 × 10⁶</w:t>
            </w:r>
          </w:p>
        </w:tc>
        <w:tc>
          <w:tcPr>
            <w:tcW w:w="1134" w:type="dxa"/>
            <w:vAlign w:val="center"/>
          </w:tcPr>
          <w:p w14:paraId="384D79A6">
            <w:pPr>
              <w:jc w:val="center"/>
              <w:rPr>
                <w:i/>
                <w:sz w:val="20"/>
              </w:rPr>
            </w:pPr>
            <w:r>
              <w:rPr>
                <w:sz w:val="20"/>
              </w:rPr>
              <w:t>2,07 × 10⁶</w:t>
            </w:r>
          </w:p>
        </w:tc>
        <w:tc>
          <w:tcPr>
            <w:tcW w:w="1121" w:type="dxa"/>
            <w:vAlign w:val="center"/>
          </w:tcPr>
          <w:p w14:paraId="0F409C31">
            <w:pPr>
              <w:jc w:val="center"/>
              <w:rPr>
                <w:i/>
                <w:sz w:val="20"/>
              </w:rPr>
            </w:pPr>
            <w:r>
              <w:rPr>
                <w:sz w:val="20"/>
              </w:rPr>
              <w:t>4,60 × 10⁶</w:t>
            </w:r>
          </w:p>
        </w:tc>
      </w:tr>
      <w:tr w14:paraId="7972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2" w:type="dxa"/>
            <w:vMerge w:val="continue"/>
            <w:vAlign w:val="center"/>
          </w:tcPr>
          <w:p w14:paraId="7AF0BB95">
            <w:pPr>
              <w:jc w:val="center"/>
              <w:rPr>
                <w:i/>
                <w:sz w:val="20"/>
              </w:rPr>
            </w:pPr>
          </w:p>
        </w:tc>
        <w:tc>
          <w:tcPr>
            <w:tcW w:w="1094" w:type="dxa"/>
            <w:vAlign w:val="center"/>
          </w:tcPr>
          <w:p w14:paraId="00594C07">
            <w:pPr>
              <w:jc w:val="center"/>
              <w:rPr>
                <w:i/>
                <w:sz w:val="20"/>
              </w:rPr>
            </w:pPr>
            <w:r>
              <w:rPr>
                <w:sz w:val="20"/>
              </w:rPr>
              <w:t>PSO</w:t>
            </w:r>
          </w:p>
        </w:tc>
        <w:tc>
          <w:tcPr>
            <w:tcW w:w="1131" w:type="dxa"/>
            <w:vAlign w:val="center"/>
          </w:tcPr>
          <w:p w14:paraId="7CC6569F">
            <w:pPr>
              <w:jc w:val="center"/>
              <w:rPr>
                <w:i/>
                <w:sz w:val="20"/>
              </w:rPr>
            </w:pPr>
            <w:r>
              <w:rPr>
                <w:sz w:val="20"/>
              </w:rPr>
              <w:t>1,52 × 10⁶</w:t>
            </w:r>
          </w:p>
        </w:tc>
        <w:tc>
          <w:tcPr>
            <w:tcW w:w="1134" w:type="dxa"/>
            <w:vAlign w:val="center"/>
          </w:tcPr>
          <w:p w14:paraId="5FF606CD">
            <w:pPr>
              <w:jc w:val="center"/>
              <w:rPr>
                <w:i/>
                <w:sz w:val="20"/>
              </w:rPr>
            </w:pPr>
            <w:r>
              <w:rPr>
                <w:sz w:val="20"/>
              </w:rPr>
              <w:t>6,54 × 10⁶</w:t>
            </w:r>
          </w:p>
        </w:tc>
        <w:tc>
          <w:tcPr>
            <w:tcW w:w="1134" w:type="dxa"/>
            <w:vAlign w:val="center"/>
          </w:tcPr>
          <w:p w14:paraId="7C6FC40E">
            <w:pPr>
              <w:jc w:val="center"/>
              <w:rPr>
                <w:i/>
                <w:sz w:val="20"/>
              </w:rPr>
            </w:pPr>
            <w:r>
              <w:rPr>
                <w:sz w:val="20"/>
              </w:rPr>
              <w:t>2,92 × 10⁶</w:t>
            </w:r>
          </w:p>
        </w:tc>
        <w:tc>
          <w:tcPr>
            <w:tcW w:w="1134" w:type="dxa"/>
            <w:vAlign w:val="center"/>
          </w:tcPr>
          <w:p w14:paraId="66C14844">
            <w:pPr>
              <w:jc w:val="center"/>
              <w:rPr>
                <w:i/>
                <w:sz w:val="20"/>
              </w:rPr>
            </w:pPr>
            <w:r>
              <w:rPr>
                <w:sz w:val="20"/>
              </w:rPr>
              <w:t>1,30 × 10⁶</w:t>
            </w:r>
          </w:p>
        </w:tc>
        <w:tc>
          <w:tcPr>
            <w:tcW w:w="1121" w:type="dxa"/>
            <w:vAlign w:val="center"/>
          </w:tcPr>
          <w:p w14:paraId="1FFE4A39">
            <w:pPr>
              <w:jc w:val="center"/>
              <w:rPr>
                <w:i/>
                <w:sz w:val="20"/>
              </w:rPr>
            </w:pPr>
            <w:r>
              <w:rPr>
                <w:sz w:val="20"/>
              </w:rPr>
              <w:t>2,25 × 10⁶</w:t>
            </w:r>
          </w:p>
        </w:tc>
      </w:tr>
    </w:tbl>
    <w:p w14:paraId="58C80CB7">
      <w:pPr>
        <w:spacing w:after="0"/>
        <w:ind w:firstLine="720"/>
        <w:rPr>
          <w:rFonts w:cs="Times New Roman"/>
        </w:rPr>
      </w:pPr>
      <w:r>
        <w:rPr>
          <w:rFonts w:cs="Times New Roman"/>
        </w:rPr>
        <w:t xml:space="preserve">Tabel 4.1 menunjukkan bahwa IFPOA-X menghasilkan nilai terbaik, terburuk, rata-rata, dan median yang lebih rendah dibandingkan FPA dan PSO pada seluruh fungsi </w:t>
      </w:r>
      <w:r>
        <w:rPr>
          <w:rFonts w:cs="Times New Roman"/>
          <w:i/>
        </w:rPr>
        <w:t>benchmark</w:t>
      </w:r>
      <w:r>
        <w:rPr>
          <w:rFonts w:cs="Times New Roman"/>
        </w:rPr>
        <w:t xml:space="preserve">. Perbedaan paling besar terlihat pada fungsi </w:t>
      </w:r>
      <w:r>
        <w:rPr>
          <w:rFonts w:cs="Times New Roman"/>
          <w:i/>
        </w:rPr>
        <w:t>Rastrigin</w:t>
      </w:r>
      <w:r>
        <w:rPr>
          <w:rFonts w:cs="Times New Roman"/>
        </w:rPr>
        <w:t xml:space="preserve"> dan </w:t>
      </w:r>
      <w:r>
        <w:rPr>
          <w:rFonts w:cs="Times New Roman"/>
          <w:i/>
        </w:rPr>
        <w:t>Rosenbrock</w:t>
      </w:r>
      <w:r>
        <w:rPr>
          <w:rFonts w:cs="Times New Roman"/>
        </w:rPr>
        <w:t xml:space="preserve">, dengan selisih kualitas solusi mencapai beberapa orde magnitudo. Pada Ackley, rata-rata nilai akhir IFPOA-X sebesar 3,90 × 10⁻¹, sedangkan FPA dan PSO masih berada pada orde 10¹. Pada Rastrigin, median IFPOA-X mencapai 1,10 × 10⁻¹, sementara median kedua algoritma pembanding masih berada pada orde 10². Perbedaan yang lebih besar ditemukan pada </w:t>
      </w:r>
      <w:r>
        <w:rPr>
          <w:rFonts w:cs="Times New Roman"/>
          <w:i/>
        </w:rPr>
        <w:t>Rosenbrock</w:t>
      </w:r>
      <w:r>
        <w:rPr>
          <w:rFonts w:cs="Times New Roman"/>
        </w:rPr>
        <w:t>, ketika median IFPOA-X berada pada orde 10¹, sedangkan FPA dan PSO berada pada orde 10⁶.</w:t>
      </w:r>
    </w:p>
    <w:p w14:paraId="5139455A">
      <w:pPr>
        <w:spacing w:after="0"/>
        <w:ind w:firstLine="720"/>
        <w:rPr>
          <w:rFonts w:cs="Times New Roman"/>
        </w:rPr>
      </w:pPr>
      <w:r>
        <w:rPr>
          <w:rFonts w:cs="Times New Roman"/>
        </w:rPr>
        <w:t xml:space="preserve">Meskipun demikian, hasil IFPOA-X pada </w:t>
      </w:r>
      <w:r>
        <w:rPr>
          <w:rFonts w:cs="Times New Roman"/>
          <w:i/>
        </w:rPr>
        <w:t>Rastrigin</w:t>
      </w:r>
      <w:r>
        <w:rPr>
          <w:rFonts w:cs="Times New Roman"/>
        </w:rPr>
        <w:t xml:space="preserve"> dan </w:t>
      </w:r>
      <w:r>
        <w:rPr>
          <w:rFonts w:cs="Times New Roman"/>
          <w:i/>
        </w:rPr>
        <w:t>Rosenbrock</w:t>
      </w:r>
      <w:r>
        <w:rPr>
          <w:rFonts w:cs="Times New Roman"/>
        </w:rPr>
        <w:t xml:space="preserve"> masih menunjukkan variasi kualitas solusi antar-run. Hal tersebut terlihat dari perbedaan antara nilai median, rata-rata, dan nilai terburuk, yang menunjukkan bahwa tidak seluruh run mencapai kualitas solusi akhir yang sama. Pada </w:t>
      </w:r>
      <w:r>
        <w:rPr>
          <w:rFonts w:cs="Times New Roman"/>
          <w:i/>
        </w:rPr>
        <w:t>Rosenbrock</w:t>
      </w:r>
      <w:r>
        <w:rPr>
          <w:rFonts w:cs="Times New Roman"/>
        </w:rPr>
        <w:t xml:space="preserve">, misalnya, median IFPOA-X sebesar 4,97 × 10¹, sedangkan nilai terburuknya mencapai 1,87 × 10³. Kondisi tersebut menunjukkan bahwa konsistensi konvergensi IFPOA-X masih dapat ditingkatkan. Namun, median dan rata-rata IFPOA-X tetap jauh lebih rendah daripada FPA dan PSO, sehingga variasi antar-run tersebut tidak menghilangkan keunggulannya dalam menghasilkan solusi yang lebih dekat terhadap optimum global. </w:t>
      </w:r>
    </w:p>
    <w:p w14:paraId="6A096E05">
      <w:pPr>
        <w:spacing w:after="0"/>
        <w:ind w:firstLine="720"/>
        <w:rPr>
          <w:rFonts w:cs="Times New Roman"/>
        </w:rPr>
      </w:pPr>
      <w:r>
        <w:rPr>
          <w:rFonts w:cs="Times New Roman"/>
        </w:rPr>
        <w:t xml:space="preserve">Temuan statistik tersebut konsisten dengan pola kurva konvergensi pada ketiga fungsi </w:t>
      </w:r>
      <w:r>
        <w:rPr>
          <w:rFonts w:cs="Times New Roman"/>
          <w:i/>
        </w:rPr>
        <w:t>benchmark</w:t>
      </w:r>
      <w:r>
        <w:rPr>
          <w:rFonts w:cs="Times New Roman"/>
        </w:rPr>
        <w:t xml:space="preserve">. IFPOA-X masih menunjukkan perbaikan nilai fungsi objektif hingga mendekati akhir anggaran evaluasi, sedangkan FPA dan PSO cenderung mengalami stagnasi lebih awal. Pola tersebut memperlihatkan bahwa IFPOA-X mampu mempertahankan proses pencarian lebih lama dalam anggaran evaluasi yang sama. Namun, hasil pengujian konfigurasi lengkap ini belum dapat digunakan untuk menentukan kontribusi individual dari OBL, UCB1, dan JADE-style local search karena pengaruh masing-masing mekanisme harus dianalisis secara terpisah melalui pengujian ablasi. Untuk memastikan bahwa perbedaan nilai akhir tersebut tidak hanya disebabkan oleh variasi acak, dilakukan uji Wilcoxon signed-rank secara berpasangan dan uji Friedman. </w:t>
      </w:r>
    </w:p>
    <w:p w14:paraId="1C183682">
      <w:pPr>
        <w:spacing w:after="0"/>
        <w:ind w:firstLine="720"/>
        <w:rPr>
          <w:rFonts w:cs="Times New Roman"/>
        </w:rPr>
      </w:pPr>
      <w:r>
        <w:rPr>
          <w:rFonts w:cs="Times New Roman"/>
        </w:rPr>
        <w:t xml:space="preserve">Pengujian dihitung ulang menggunakan nilai fitness berpresisi penuh yang tersimpan dalam </w:t>
      </w:r>
      <w:r>
        <w:rPr>
          <w:rFonts w:ascii="Courier New" w:hAnsi="Courier New" w:cs="Courier New"/>
          <w:bCs/>
          <w:sz w:val="20"/>
          <w:szCs w:val="20"/>
        </w:rPr>
        <w:t>benchmark_results.json</w:t>
      </w:r>
      <w:r>
        <w:rPr>
          <w:rFonts w:cs="Times New Roman"/>
        </w:rPr>
        <w:t xml:space="preserve">. Setiap hasil IFPOA-X dipasangkan dengan hasil FPA dan PSO berdasarkan nomor run serta seed yang sama tanpa melakukan pembulatan nilai fitness sebelum pengujian. Pada keenam perbandingan Wilcoxon, seluruh 20 selisih berpasangan bernilai negatif karena nilai fitness IFPOA-X lebih rendah daripada nilai fitness algoritma pembanding. Kondisi tersebut menghasilkan statistik minimum </w:t>
      </w:r>
      <w:r>
        <w:rPr>
          <w:rFonts w:cs="Times New Roman"/>
          <w:i/>
        </w:rPr>
        <w:t>W</w:t>
      </w:r>
      <w:r>
        <w:rPr>
          <w:rFonts w:cs="Times New Roman"/>
        </w:rPr>
        <w:t xml:space="preserve">=0 dan </w:t>
      </w:r>
      <w:r>
        <w:rPr>
          <w:rFonts w:cs="Times New Roman"/>
          <w:i/>
        </w:rPr>
        <w:t>p-value</w:t>
      </w:r>
      <w:r>
        <w:rPr>
          <w:rFonts w:cs="Times New Roman"/>
        </w:rPr>
        <w:t xml:space="preserve"> sebesar 1,9073486328125×10 −6 . Oleh karena itu, kesamaan </w:t>
      </w:r>
      <w:r>
        <w:rPr>
          <w:rFonts w:cs="Times New Roman"/>
          <w:i/>
        </w:rPr>
        <w:t>p-value</w:t>
      </w:r>
      <w:r>
        <w:rPr>
          <w:rFonts w:cs="Times New Roman"/>
        </w:rPr>
        <w:t xml:space="preserve"> pada keenam perbandingan merupakan konsekuensi dari kesamaan arah seluruh selisih berpasangan, bukan akibat penggunaan ulang array data. Besarnya perbedaan antarkinerja tetap dapat diamati melalui median selisih yang disajikan pada Tabel 4.</w:t>
      </w:r>
      <w:r>
        <w:rPr>
          <w:rFonts w:cs="Times New Roman"/>
          <w:lang w:val="en-US"/>
        </w:rPr>
        <w:t xml:space="preserve"> </w:t>
      </w:r>
      <w:r>
        <w:rPr>
          <w:rFonts w:cs="Times New Roman"/>
        </w:rPr>
        <w:t>2.</w:t>
      </w:r>
    </w:p>
    <w:p w14:paraId="4E7F2E34">
      <w:pPr>
        <w:pStyle w:val="11"/>
        <w:keepNext/>
        <w:jc w:val="center"/>
        <w:rPr>
          <w:b/>
          <w:i w:val="0"/>
          <w:color w:val="auto"/>
          <w:sz w:val="24"/>
        </w:rPr>
      </w:pPr>
      <w:bookmarkStart w:id="94" w:name="_Toc236786425"/>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lang w:val="en-US"/>
        </w:rPr>
        <w:t xml:space="preserve"> </w:t>
      </w:r>
      <w:r>
        <w:rPr>
          <w:b/>
          <w:i w:val="0"/>
          <w:color w:val="auto"/>
          <w:sz w:val="24"/>
        </w:rPr>
        <w:t>Uji Signifikansi dan Besar Perbedaan Kinerja IFPOA-X</w:t>
      </w:r>
      <w:bookmarkEnd w:id="94"/>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1161"/>
        <w:gridCol w:w="1295"/>
        <w:gridCol w:w="1070"/>
        <w:gridCol w:w="1021"/>
        <w:gridCol w:w="1295"/>
        <w:gridCol w:w="1072"/>
      </w:tblGrid>
      <w:tr w14:paraId="780B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6" w:type="dxa"/>
            <w:vAlign w:val="center"/>
          </w:tcPr>
          <w:p w14:paraId="6427398A">
            <w:pPr>
              <w:pStyle w:val="11"/>
              <w:keepNext/>
              <w:spacing w:before="240"/>
              <w:jc w:val="center"/>
              <w:rPr>
                <w:b/>
                <w:i w:val="0"/>
                <w:color w:val="auto"/>
                <w:sz w:val="20"/>
              </w:rPr>
            </w:pPr>
            <w:r>
              <w:rPr>
                <w:b/>
                <w:i w:val="0"/>
                <w:color w:val="auto"/>
                <w:sz w:val="20"/>
              </w:rPr>
              <w:t>Jenis Uji</w:t>
            </w:r>
          </w:p>
        </w:tc>
        <w:tc>
          <w:tcPr>
            <w:tcW w:w="1161" w:type="dxa"/>
            <w:vAlign w:val="center"/>
          </w:tcPr>
          <w:p w14:paraId="4FD755B3">
            <w:pPr>
              <w:pStyle w:val="11"/>
              <w:keepNext/>
              <w:spacing w:before="240"/>
              <w:jc w:val="center"/>
              <w:rPr>
                <w:b/>
                <w:i w:val="0"/>
                <w:color w:val="auto"/>
                <w:sz w:val="20"/>
              </w:rPr>
            </w:pPr>
            <w:r>
              <w:rPr>
                <w:b/>
                <w:i w:val="0"/>
                <w:color w:val="auto"/>
                <w:sz w:val="20"/>
              </w:rPr>
              <w:t>Fungsi</w:t>
            </w:r>
          </w:p>
        </w:tc>
        <w:tc>
          <w:tcPr>
            <w:tcW w:w="1295" w:type="dxa"/>
            <w:vAlign w:val="center"/>
          </w:tcPr>
          <w:p w14:paraId="12FF8374">
            <w:pPr>
              <w:pStyle w:val="11"/>
              <w:keepNext/>
              <w:spacing w:before="240"/>
              <w:jc w:val="center"/>
              <w:rPr>
                <w:b/>
                <w:i w:val="0"/>
                <w:color w:val="auto"/>
                <w:sz w:val="20"/>
              </w:rPr>
            </w:pPr>
            <w:r>
              <w:rPr>
                <w:b/>
                <w:i w:val="0"/>
                <w:color w:val="auto"/>
                <w:sz w:val="20"/>
              </w:rPr>
              <w:t>Pembanding</w:t>
            </w:r>
          </w:p>
        </w:tc>
        <w:tc>
          <w:tcPr>
            <w:tcW w:w="1070" w:type="dxa"/>
            <w:vAlign w:val="center"/>
          </w:tcPr>
          <w:p w14:paraId="6F62C14B">
            <w:pPr>
              <w:pStyle w:val="11"/>
              <w:keepNext/>
              <w:spacing w:before="240"/>
              <w:jc w:val="center"/>
              <w:rPr>
                <w:b/>
                <w:i w:val="0"/>
                <w:color w:val="auto"/>
                <w:sz w:val="20"/>
              </w:rPr>
            </w:pPr>
            <w:r>
              <w:rPr>
                <w:b/>
                <w:i w:val="0"/>
                <w:color w:val="auto"/>
                <w:sz w:val="20"/>
              </w:rPr>
              <w:t>Statistik</w:t>
            </w:r>
          </w:p>
        </w:tc>
        <w:tc>
          <w:tcPr>
            <w:tcW w:w="1021" w:type="dxa"/>
            <w:vAlign w:val="center"/>
          </w:tcPr>
          <w:p w14:paraId="3A9E5761">
            <w:pPr>
              <w:pStyle w:val="11"/>
              <w:keepNext/>
              <w:spacing w:before="240"/>
              <w:jc w:val="center"/>
              <w:rPr>
                <w:b/>
                <w:i w:val="0"/>
                <w:color w:val="auto"/>
                <w:sz w:val="20"/>
              </w:rPr>
            </w:pPr>
            <w:r>
              <w:rPr>
                <w:b/>
                <w:i w:val="0"/>
                <w:color w:val="auto"/>
                <w:sz w:val="20"/>
              </w:rPr>
              <w:t>p-value</w:t>
            </w:r>
          </w:p>
        </w:tc>
        <w:tc>
          <w:tcPr>
            <w:tcW w:w="1295" w:type="dxa"/>
            <w:vAlign w:val="center"/>
          </w:tcPr>
          <w:p w14:paraId="678AE4E6">
            <w:pPr>
              <w:pStyle w:val="11"/>
              <w:keepNext/>
              <w:spacing w:before="240"/>
              <w:jc w:val="center"/>
              <w:rPr>
                <w:b/>
                <w:i w:val="0"/>
                <w:color w:val="auto"/>
                <w:sz w:val="20"/>
              </w:rPr>
            </w:pPr>
            <w:r>
              <w:rPr>
                <w:b/>
                <w:i w:val="0"/>
                <w:color w:val="auto"/>
                <w:sz w:val="20"/>
              </w:rPr>
              <w:t>Median Selisih IFPOA-X − Pembanding</w:t>
            </w:r>
          </w:p>
        </w:tc>
        <w:tc>
          <w:tcPr>
            <w:tcW w:w="1072" w:type="dxa"/>
            <w:vAlign w:val="center"/>
          </w:tcPr>
          <w:p w14:paraId="567C4264">
            <w:pPr>
              <w:pStyle w:val="11"/>
              <w:keepNext/>
              <w:spacing w:before="240"/>
              <w:jc w:val="center"/>
              <w:rPr>
                <w:b/>
                <w:i w:val="0"/>
                <w:color w:val="auto"/>
                <w:sz w:val="20"/>
              </w:rPr>
            </w:pPr>
            <w:r>
              <w:rPr>
                <w:b/>
                <w:i w:val="0"/>
                <w:color w:val="auto"/>
                <w:sz w:val="20"/>
              </w:rPr>
              <w:t>Hasil</w:t>
            </w:r>
          </w:p>
        </w:tc>
      </w:tr>
      <w:tr w14:paraId="40B3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78B68DDC">
            <w:pPr>
              <w:pStyle w:val="11"/>
              <w:keepNext/>
              <w:spacing w:before="240"/>
              <w:jc w:val="center"/>
              <w:rPr>
                <w:color w:val="auto"/>
                <w:sz w:val="20"/>
              </w:rPr>
            </w:pPr>
            <w:r>
              <w:rPr>
                <w:color w:val="auto"/>
                <w:sz w:val="20"/>
              </w:rPr>
              <w:t>Wilcoxon</w:t>
            </w:r>
          </w:p>
        </w:tc>
        <w:tc>
          <w:tcPr>
            <w:tcW w:w="1161" w:type="dxa"/>
            <w:vAlign w:val="center"/>
          </w:tcPr>
          <w:p w14:paraId="0E6D1D0C">
            <w:pPr>
              <w:pStyle w:val="11"/>
              <w:keepNext/>
              <w:spacing w:before="240"/>
              <w:jc w:val="center"/>
              <w:rPr>
                <w:color w:val="auto"/>
                <w:sz w:val="20"/>
              </w:rPr>
            </w:pPr>
            <w:r>
              <w:rPr>
                <w:color w:val="auto"/>
                <w:sz w:val="20"/>
              </w:rPr>
              <w:t>Ackley</w:t>
            </w:r>
          </w:p>
        </w:tc>
        <w:tc>
          <w:tcPr>
            <w:tcW w:w="1295" w:type="dxa"/>
            <w:vAlign w:val="center"/>
          </w:tcPr>
          <w:p w14:paraId="0B000D09">
            <w:pPr>
              <w:pStyle w:val="11"/>
              <w:keepNext/>
              <w:spacing w:before="240"/>
              <w:jc w:val="center"/>
              <w:rPr>
                <w:i w:val="0"/>
                <w:color w:val="auto"/>
                <w:sz w:val="20"/>
              </w:rPr>
            </w:pPr>
            <w:r>
              <w:rPr>
                <w:i w:val="0"/>
                <w:color w:val="auto"/>
                <w:sz w:val="20"/>
              </w:rPr>
              <w:t>FPA</w:t>
            </w:r>
          </w:p>
        </w:tc>
        <w:tc>
          <w:tcPr>
            <w:tcW w:w="1070" w:type="dxa"/>
            <w:vAlign w:val="center"/>
          </w:tcPr>
          <w:p w14:paraId="1C00C42D">
            <w:pPr>
              <w:pStyle w:val="11"/>
              <w:keepNext/>
              <w:spacing w:before="240"/>
              <w:jc w:val="center"/>
              <w:rPr>
                <w:i w:val="0"/>
                <w:color w:val="auto"/>
                <w:sz w:val="20"/>
              </w:rPr>
            </w:pPr>
            <w:r>
              <w:rPr>
                <w:i w:val="0"/>
                <w:color w:val="auto"/>
                <w:sz w:val="20"/>
              </w:rPr>
              <w:t>W = 0</w:t>
            </w:r>
          </w:p>
        </w:tc>
        <w:tc>
          <w:tcPr>
            <w:tcW w:w="1021" w:type="dxa"/>
            <w:vAlign w:val="center"/>
          </w:tcPr>
          <w:p w14:paraId="6472A4C6">
            <w:pPr>
              <w:pStyle w:val="11"/>
              <w:keepNext/>
              <w:spacing w:before="240"/>
              <w:jc w:val="center"/>
              <w:rPr>
                <w:i w:val="0"/>
                <w:color w:val="auto"/>
                <w:sz w:val="20"/>
              </w:rPr>
            </w:pPr>
            <w:r>
              <w:rPr>
                <w:i w:val="0"/>
                <w:color w:val="auto"/>
                <w:sz w:val="20"/>
              </w:rPr>
              <w:t>1,91 × 10⁻⁶</w:t>
            </w:r>
          </w:p>
        </w:tc>
        <w:tc>
          <w:tcPr>
            <w:tcW w:w="1295" w:type="dxa"/>
            <w:vAlign w:val="center"/>
          </w:tcPr>
          <w:p w14:paraId="1D282323">
            <w:pPr>
              <w:pStyle w:val="11"/>
              <w:keepNext/>
              <w:spacing w:before="240"/>
              <w:jc w:val="center"/>
              <w:rPr>
                <w:i w:val="0"/>
                <w:color w:val="auto"/>
                <w:sz w:val="20"/>
              </w:rPr>
            </w:pPr>
            <w:r>
              <w:rPr>
                <w:i w:val="0"/>
                <w:color w:val="auto"/>
                <w:sz w:val="20"/>
              </w:rPr>
              <w:t>−1,3182 × 10¹</w:t>
            </w:r>
          </w:p>
        </w:tc>
        <w:tc>
          <w:tcPr>
            <w:tcW w:w="1072" w:type="dxa"/>
            <w:vAlign w:val="center"/>
          </w:tcPr>
          <w:p w14:paraId="27D8BC13">
            <w:pPr>
              <w:pStyle w:val="11"/>
              <w:keepNext/>
              <w:spacing w:before="240"/>
              <w:jc w:val="center"/>
              <w:rPr>
                <w:i w:val="0"/>
                <w:color w:val="auto"/>
                <w:sz w:val="20"/>
              </w:rPr>
            </w:pPr>
            <w:r>
              <w:rPr>
                <w:i w:val="0"/>
                <w:color w:val="auto"/>
                <w:sz w:val="20"/>
              </w:rPr>
              <w:t>Signifikan</w:t>
            </w:r>
          </w:p>
        </w:tc>
      </w:tr>
      <w:tr w14:paraId="2696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51B9CDCB">
            <w:pPr>
              <w:pStyle w:val="11"/>
              <w:keepNext/>
              <w:spacing w:before="240"/>
              <w:jc w:val="center"/>
              <w:rPr>
                <w:color w:val="auto"/>
                <w:sz w:val="20"/>
              </w:rPr>
            </w:pPr>
            <w:r>
              <w:rPr>
                <w:color w:val="auto"/>
                <w:sz w:val="20"/>
              </w:rPr>
              <w:t>Wilcoxon</w:t>
            </w:r>
          </w:p>
        </w:tc>
        <w:tc>
          <w:tcPr>
            <w:tcW w:w="1161" w:type="dxa"/>
            <w:vAlign w:val="center"/>
          </w:tcPr>
          <w:p w14:paraId="6018C4A7">
            <w:pPr>
              <w:pStyle w:val="11"/>
              <w:keepNext/>
              <w:spacing w:before="240"/>
              <w:jc w:val="center"/>
              <w:rPr>
                <w:color w:val="auto"/>
                <w:sz w:val="20"/>
              </w:rPr>
            </w:pPr>
            <w:r>
              <w:rPr>
                <w:color w:val="auto"/>
                <w:sz w:val="20"/>
              </w:rPr>
              <w:t>Ackley</w:t>
            </w:r>
          </w:p>
        </w:tc>
        <w:tc>
          <w:tcPr>
            <w:tcW w:w="1295" w:type="dxa"/>
            <w:vAlign w:val="center"/>
          </w:tcPr>
          <w:p w14:paraId="313D27B1">
            <w:pPr>
              <w:pStyle w:val="11"/>
              <w:keepNext/>
              <w:spacing w:before="240"/>
              <w:jc w:val="center"/>
              <w:rPr>
                <w:i w:val="0"/>
                <w:color w:val="auto"/>
                <w:sz w:val="20"/>
              </w:rPr>
            </w:pPr>
            <w:r>
              <w:rPr>
                <w:i w:val="0"/>
                <w:color w:val="auto"/>
                <w:sz w:val="20"/>
              </w:rPr>
              <w:t>PSO</w:t>
            </w:r>
          </w:p>
        </w:tc>
        <w:tc>
          <w:tcPr>
            <w:tcW w:w="1070" w:type="dxa"/>
            <w:vAlign w:val="center"/>
          </w:tcPr>
          <w:p w14:paraId="12286FCB">
            <w:pPr>
              <w:pStyle w:val="11"/>
              <w:keepNext/>
              <w:spacing w:before="240"/>
              <w:jc w:val="center"/>
              <w:rPr>
                <w:i w:val="0"/>
                <w:color w:val="auto"/>
                <w:sz w:val="20"/>
              </w:rPr>
            </w:pPr>
            <w:r>
              <w:rPr>
                <w:i w:val="0"/>
                <w:color w:val="auto"/>
                <w:sz w:val="20"/>
              </w:rPr>
              <w:t>W = 0</w:t>
            </w:r>
          </w:p>
        </w:tc>
        <w:tc>
          <w:tcPr>
            <w:tcW w:w="1021" w:type="dxa"/>
            <w:vAlign w:val="center"/>
          </w:tcPr>
          <w:p w14:paraId="345584F4">
            <w:pPr>
              <w:pStyle w:val="11"/>
              <w:keepNext/>
              <w:spacing w:before="240"/>
              <w:jc w:val="center"/>
              <w:rPr>
                <w:i w:val="0"/>
                <w:color w:val="auto"/>
                <w:sz w:val="20"/>
              </w:rPr>
            </w:pPr>
            <w:r>
              <w:rPr>
                <w:i w:val="0"/>
                <w:color w:val="auto"/>
                <w:sz w:val="20"/>
              </w:rPr>
              <w:t>1,91 × 10⁻⁶</w:t>
            </w:r>
          </w:p>
        </w:tc>
        <w:tc>
          <w:tcPr>
            <w:tcW w:w="1295" w:type="dxa"/>
            <w:vAlign w:val="center"/>
          </w:tcPr>
          <w:p w14:paraId="4FDA660C">
            <w:pPr>
              <w:pStyle w:val="11"/>
              <w:keepNext/>
              <w:spacing w:before="240"/>
              <w:jc w:val="center"/>
              <w:rPr>
                <w:i w:val="0"/>
                <w:color w:val="auto"/>
                <w:sz w:val="20"/>
              </w:rPr>
            </w:pPr>
            <w:r>
              <w:rPr>
                <w:i w:val="0"/>
                <w:color w:val="auto"/>
                <w:sz w:val="20"/>
              </w:rPr>
              <w:t>−1,2587 × 10¹</w:t>
            </w:r>
          </w:p>
        </w:tc>
        <w:tc>
          <w:tcPr>
            <w:tcW w:w="1072" w:type="dxa"/>
            <w:vAlign w:val="center"/>
          </w:tcPr>
          <w:p w14:paraId="0889B94C">
            <w:pPr>
              <w:pStyle w:val="11"/>
              <w:keepNext/>
              <w:spacing w:before="240"/>
              <w:jc w:val="center"/>
              <w:rPr>
                <w:i w:val="0"/>
                <w:color w:val="auto"/>
                <w:sz w:val="20"/>
              </w:rPr>
            </w:pPr>
            <w:r>
              <w:rPr>
                <w:i w:val="0"/>
                <w:color w:val="auto"/>
                <w:sz w:val="20"/>
              </w:rPr>
              <w:t>Signifikan</w:t>
            </w:r>
          </w:p>
        </w:tc>
      </w:tr>
      <w:tr w14:paraId="622C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6FBDD07B">
            <w:pPr>
              <w:pStyle w:val="11"/>
              <w:keepNext/>
              <w:spacing w:before="240"/>
              <w:jc w:val="center"/>
              <w:rPr>
                <w:color w:val="auto"/>
                <w:sz w:val="20"/>
              </w:rPr>
            </w:pPr>
            <w:r>
              <w:rPr>
                <w:color w:val="auto"/>
                <w:sz w:val="20"/>
              </w:rPr>
              <w:t>Wilcoxon</w:t>
            </w:r>
          </w:p>
        </w:tc>
        <w:tc>
          <w:tcPr>
            <w:tcW w:w="1161" w:type="dxa"/>
            <w:vAlign w:val="center"/>
          </w:tcPr>
          <w:p w14:paraId="5FF3E662">
            <w:pPr>
              <w:pStyle w:val="11"/>
              <w:keepNext/>
              <w:spacing w:before="240"/>
              <w:jc w:val="center"/>
              <w:rPr>
                <w:color w:val="auto"/>
                <w:sz w:val="20"/>
              </w:rPr>
            </w:pPr>
            <w:r>
              <w:rPr>
                <w:color w:val="auto"/>
                <w:sz w:val="20"/>
              </w:rPr>
              <w:t>Rastrigin</w:t>
            </w:r>
          </w:p>
        </w:tc>
        <w:tc>
          <w:tcPr>
            <w:tcW w:w="1295" w:type="dxa"/>
            <w:vAlign w:val="center"/>
          </w:tcPr>
          <w:p w14:paraId="2ADA266E">
            <w:pPr>
              <w:pStyle w:val="11"/>
              <w:keepNext/>
              <w:spacing w:before="240"/>
              <w:jc w:val="center"/>
              <w:rPr>
                <w:i w:val="0"/>
                <w:color w:val="auto"/>
                <w:sz w:val="20"/>
              </w:rPr>
            </w:pPr>
            <w:r>
              <w:rPr>
                <w:i w:val="0"/>
                <w:color w:val="auto"/>
                <w:sz w:val="20"/>
              </w:rPr>
              <w:t>FPA</w:t>
            </w:r>
          </w:p>
        </w:tc>
        <w:tc>
          <w:tcPr>
            <w:tcW w:w="1070" w:type="dxa"/>
            <w:vAlign w:val="center"/>
          </w:tcPr>
          <w:p w14:paraId="0E0101DC">
            <w:pPr>
              <w:pStyle w:val="11"/>
              <w:keepNext/>
              <w:spacing w:before="240"/>
              <w:jc w:val="center"/>
              <w:rPr>
                <w:i w:val="0"/>
                <w:color w:val="auto"/>
                <w:sz w:val="20"/>
              </w:rPr>
            </w:pPr>
            <w:r>
              <w:rPr>
                <w:i w:val="0"/>
                <w:color w:val="auto"/>
                <w:sz w:val="20"/>
              </w:rPr>
              <w:t>W = 0</w:t>
            </w:r>
          </w:p>
        </w:tc>
        <w:tc>
          <w:tcPr>
            <w:tcW w:w="1021" w:type="dxa"/>
            <w:vAlign w:val="center"/>
          </w:tcPr>
          <w:p w14:paraId="57B11BBA">
            <w:pPr>
              <w:pStyle w:val="11"/>
              <w:keepNext/>
              <w:spacing w:before="240"/>
              <w:jc w:val="center"/>
              <w:rPr>
                <w:i w:val="0"/>
                <w:color w:val="auto"/>
                <w:sz w:val="20"/>
              </w:rPr>
            </w:pPr>
            <w:r>
              <w:rPr>
                <w:i w:val="0"/>
                <w:color w:val="auto"/>
                <w:sz w:val="20"/>
              </w:rPr>
              <w:t>1,91 × 10⁻⁶</w:t>
            </w:r>
          </w:p>
        </w:tc>
        <w:tc>
          <w:tcPr>
            <w:tcW w:w="1295" w:type="dxa"/>
            <w:vAlign w:val="center"/>
          </w:tcPr>
          <w:p w14:paraId="4081A15C">
            <w:pPr>
              <w:pStyle w:val="11"/>
              <w:keepNext/>
              <w:spacing w:before="240"/>
              <w:jc w:val="center"/>
              <w:rPr>
                <w:i w:val="0"/>
                <w:color w:val="auto"/>
                <w:sz w:val="20"/>
              </w:rPr>
            </w:pPr>
            <w:r>
              <w:rPr>
                <w:i w:val="0"/>
                <w:color w:val="auto"/>
                <w:sz w:val="20"/>
              </w:rPr>
              <w:t>−4,1793 × 10²</w:t>
            </w:r>
          </w:p>
        </w:tc>
        <w:tc>
          <w:tcPr>
            <w:tcW w:w="1072" w:type="dxa"/>
            <w:vAlign w:val="center"/>
          </w:tcPr>
          <w:p w14:paraId="48182AC0">
            <w:pPr>
              <w:pStyle w:val="11"/>
              <w:keepNext/>
              <w:spacing w:before="240"/>
              <w:jc w:val="center"/>
              <w:rPr>
                <w:i w:val="0"/>
                <w:color w:val="auto"/>
                <w:sz w:val="20"/>
              </w:rPr>
            </w:pPr>
            <w:r>
              <w:rPr>
                <w:i w:val="0"/>
                <w:color w:val="auto"/>
                <w:sz w:val="20"/>
              </w:rPr>
              <w:t>Signifikan</w:t>
            </w:r>
          </w:p>
        </w:tc>
      </w:tr>
      <w:tr w14:paraId="5162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7016412B">
            <w:pPr>
              <w:pStyle w:val="11"/>
              <w:keepNext/>
              <w:spacing w:before="240"/>
              <w:jc w:val="center"/>
              <w:rPr>
                <w:color w:val="auto"/>
                <w:sz w:val="20"/>
              </w:rPr>
            </w:pPr>
            <w:r>
              <w:rPr>
                <w:color w:val="auto"/>
                <w:sz w:val="20"/>
              </w:rPr>
              <w:t>Wilcoxon</w:t>
            </w:r>
          </w:p>
        </w:tc>
        <w:tc>
          <w:tcPr>
            <w:tcW w:w="1161" w:type="dxa"/>
            <w:vAlign w:val="center"/>
          </w:tcPr>
          <w:p w14:paraId="20CF114C">
            <w:pPr>
              <w:pStyle w:val="11"/>
              <w:keepNext/>
              <w:spacing w:before="240"/>
              <w:jc w:val="center"/>
              <w:rPr>
                <w:color w:val="auto"/>
                <w:sz w:val="20"/>
              </w:rPr>
            </w:pPr>
            <w:r>
              <w:rPr>
                <w:color w:val="auto"/>
                <w:sz w:val="20"/>
              </w:rPr>
              <w:t>Rastrigin</w:t>
            </w:r>
          </w:p>
        </w:tc>
        <w:tc>
          <w:tcPr>
            <w:tcW w:w="1295" w:type="dxa"/>
            <w:vAlign w:val="center"/>
          </w:tcPr>
          <w:p w14:paraId="42D7620E">
            <w:pPr>
              <w:pStyle w:val="11"/>
              <w:keepNext/>
              <w:spacing w:before="240"/>
              <w:jc w:val="center"/>
              <w:rPr>
                <w:i w:val="0"/>
                <w:color w:val="auto"/>
                <w:sz w:val="20"/>
              </w:rPr>
            </w:pPr>
            <w:r>
              <w:rPr>
                <w:i w:val="0"/>
                <w:color w:val="auto"/>
                <w:sz w:val="20"/>
              </w:rPr>
              <w:t>PSO</w:t>
            </w:r>
          </w:p>
        </w:tc>
        <w:tc>
          <w:tcPr>
            <w:tcW w:w="1070" w:type="dxa"/>
            <w:vAlign w:val="center"/>
          </w:tcPr>
          <w:p w14:paraId="5BD99DEF">
            <w:pPr>
              <w:pStyle w:val="11"/>
              <w:keepNext/>
              <w:spacing w:before="240"/>
              <w:jc w:val="center"/>
              <w:rPr>
                <w:i w:val="0"/>
                <w:color w:val="auto"/>
                <w:sz w:val="20"/>
              </w:rPr>
            </w:pPr>
            <w:r>
              <w:rPr>
                <w:i w:val="0"/>
                <w:color w:val="auto"/>
                <w:sz w:val="20"/>
              </w:rPr>
              <w:t>W = 0</w:t>
            </w:r>
          </w:p>
        </w:tc>
        <w:tc>
          <w:tcPr>
            <w:tcW w:w="1021" w:type="dxa"/>
            <w:vAlign w:val="center"/>
          </w:tcPr>
          <w:p w14:paraId="468CB46A">
            <w:pPr>
              <w:pStyle w:val="11"/>
              <w:keepNext/>
              <w:spacing w:before="240"/>
              <w:jc w:val="center"/>
              <w:rPr>
                <w:i w:val="0"/>
                <w:color w:val="auto"/>
                <w:sz w:val="20"/>
              </w:rPr>
            </w:pPr>
            <w:r>
              <w:rPr>
                <w:i w:val="0"/>
                <w:color w:val="auto"/>
                <w:sz w:val="20"/>
              </w:rPr>
              <w:t>1,91 × 10⁻⁶</w:t>
            </w:r>
          </w:p>
        </w:tc>
        <w:tc>
          <w:tcPr>
            <w:tcW w:w="1295" w:type="dxa"/>
            <w:vAlign w:val="center"/>
          </w:tcPr>
          <w:p w14:paraId="1EF21124">
            <w:pPr>
              <w:pStyle w:val="11"/>
              <w:keepNext/>
              <w:spacing w:before="240"/>
              <w:jc w:val="center"/>
              <w:rPr>
                <w:i w:val="0"/>
                <w:color w:val="auto"/>
                <w:sz w:val="20"/>
              </w:rPr>
            </w:pPr>
            <w:r>
              <w:rPr>
                <w:i w:val="0"/>
                <w:color w:val="auto"/>
                <w:sz w:val="20"/>
              </w:rPr>
              <w:t>−3,6367 × 10²</w:t>
            </w:r>
          </w:p>
        </w:tc>
        <w:tc>
          <w:tcPr>
            <w:tcW w:w="1072" w:type="dxa"/>
            <w:vAlign w:val="center"/>
          </w:tcPr>
          <w:p w14:paraId="47884242">
            <w:pPr>
              <w:pStyle w:val="11"/>
              <w:keepNext/>
              <w:spacing w:before="240"/>
              <w:jc w:val="center"/>
              <w:rPr>
                <w:i w:val="0"/>
                <w:color w:val="auto"/>
                <w:sz w:val="20"/>
              </w:rPr>
            </w:pPr>
            <w:r>
              <w:rPr>
                <w:i w:val="0"/>
                <w:color w:val="auto"/>
                <w:sz w:val="20"/>
              </w:rPr>
              <w:t>Signifikan</w:t>
            </w:r>
          </w:p>
        </w:tc>
      </w:tr>
      <w:tr w14:paraId="2760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5204CC2D">
            <w:pPr>
              <w:pStyle w:val="11"/>
              <w:keepNext/>
              <w:spacing w:before="240"/>
              <w:jc w:val="center"/>
              <w:rPr>
                <w:color w:val="auto"/>
                <w:sz w:val="20"/>
              </w:rPr>
            </w:pPr>
            <w:r>
              <w:rPr>
                <w:color w:val="auto"/>
                <w:sz w:val="20"/>
              </w:rPr>
              <w:t>Wilcoxon</w:t>
            </w:r>
          </w:p>
        </w:tc>
        <w:tc>
          <w:tcPr>
            <w:tcW w:w="1161" w:type="dxa"/>
            <w:vAlign w:val="center"/>
          </w:tcPr>
          <w:p w14:paraId="1D19BE74">
            <w:pPr>
              <w:pStyle w:val="11"/>
              <w:keepNext/>
              <w:spacing w:before="240"/>
              <w:jc w:val="center"/>
              <w:rPr>
                <w:color w:val="auto"/>
                <w:sz w:val="20"/>
              </w:rPr>
            </w:pPr>
            <w:r>
              <w:rPr>
                <w:color w:val="auto"/>
                <w:sz w:val="20"/>
              </w:rPr>
              <w:t>Rosenbrock</w:t>
            </w:r>
          </w:p>
        </w:tc>
        <w:tc>
          <w:tcPr>
            <w:tcW w:w="1295" w:type="dxa"/>
            <w:vAlign w:val="center"/>
          </w:tcPr>
          <w:p w14:paraId="7FAC3563">
            <w:pPr>
              <w:pStyle w:val="11"/>
              <w:keepNext/>
              <w:spacing w:before="240"/>
              <w:jc w:val="center"/>
              <w:rPr>
                <w:i w:val="0"/>
                <w:color w:val="auto"/>
                <w:sz w:val="20"/>
              </w:rPr>
            </w:pPr>
            <w:r>
              <w:rPr>
                <w:i w:val="0"/>
                <w:color w:val="auto"/>
                <w:sz w:val="20"/>
              </w:rPr>
              <w:t>FPA</w:t>
            </w:r>
          </w:p>
        </w:tc>
        <w:tc>
          <w:tcPr>
            <w:tcW w:w="1070" w:type="dxa"/>
            <w:vAlign w:val="center"/>
          </w:tcPr>
          <w:p w14:paraId="0C892196">
            <w:pPr>
              <w:pStyle w:val="11"/>
              <w:keepNext/>
              <w:spacing w:before="240"/>
              <w:jc w:val="center"/>
              <w:rPr>
                <w:i w:val="0"/>
                <w:color w:val="auto"/>
                <w:sz w:val="20"/>
              </w:rPr>
            </w:pPr>
            <w:r>
              <w:rPr>
                <w:i w:val="0"/>
                <w:color w:val="auto"/>
                <w:sz w:val="20"/>
              </w:rPr>
              <w:t>W = 0</w:t>
            </w:r>
          </w:p>
        </w:tc>
        <w:tc>
          <w:tcPr>
            <w:tcW w:w="1021" w:type="dxa"/>
            <w:vAlign w:val="center"/>
          </w:tcPr>
          <w:p w14:paraId="03DA2C78">
            <w:pPr>
              <w:pStyle w:val="11"/>
              <w:keepNext/>
              <w:spacing w:before="240"/>
              <w:jc w:val="center"/>
              <w:rPr>
                <w:i w:val="0"/>
                <w:color w:val="auto"/>
                <w:sz w:val="20"/>
              </w:rPr>
            </w:pPr>
            <w:r>
              <w:rPr>
                <w:i w:val="0"/>
                <w:color w:val="auto"/>
                <w:sz w:val="20"/>
              </w:rPr>
              <w:t>1,91 × 10⁻⁶</w:t>
            </w:r>
          </w:p>
        </w:tc>
        <w:tc>
          <w:tcPr>
            <w:tcW w:w="1295" w:type="dxa"/>
            <w:vAlign w:val="center"/>
          </w:tcPr>
          <w:p w14:paraId="63E8BB2D">
            <w:pPr>
              <w:pStyle w:val="11"/>
              <w:keepNext/>
              <w:spacing w:before="240"/>
              <w:jc w:val="center"/>
              <w:rPr>
                <w:i w:val="0"/>
                <w:color w:val="auto"/>
                <w:sz w:val="20"/>
              </w:rPr>
            </w:pPr>
            <w:r>
              <w:rPr>
                <w:i w:val="0"/>
                <w:color w:val="auto"/>
                <w:sz w:val="20"/>
              </w:rPr>
              <w:t>−4,5994 × 10⁶</w:t>
            </w:r>
          </w:p>
        </w:tc>
        <w:tc>
          <w:tcPr>
            <w:tcW w:w="1072" w:type="dxa"/>
            <w:vAlign w:val="center"/>
          </w:tcPr>
          <w:p w14:paraId="7261A767">
            <w:pPr>
              <w:pStyle w:val="11"/>
              <w:keepNext/>
              <w:spacing w:before="240"/>
              <w:jc w:val="center"/>
              <w:rPr>
                <w:i w:val="0"/>
                <w:color w:val="auto"/>
                <w:sz w:val="20"/>
              </w:rPr>
            </w:pPr>
            <w:r>
              <w:rPr>
                <w:i w:val="0"/>
                <w:color w:val="auto"/>
                <w:sz w:val="20"/>
              </w:rPr>
              <w:t>Signifikan</w:t>
            </w:r>
          </w:p>
        </w:tc>
      </w:tr>
      <w:tr w14:paraId="14E4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2C4BFE8C">
            <w:pPr>
              <w:pStyle w:val="11"/>
              <w:keepNext/>
              <w:spacing w:before="240"/>
              <w:jc w:val="center"/>
              <w:rPr>
                <w:color w:val="auto"/>
                <w:sz w:val="20"/>
              </w:rPr>
            </w:pPr>
            <w:r>
              <w:rPr>
                <w:color w:val="auto"/>
                <w:sz w:val="20"/>
              </w:rPr>
              <w:t>Wilcoxon</w:t>
            </w:r>
          </w:p>
        </w:tc>
        <w:tc>
          <w:tcPr>
            <w:tcW w:w="1161" w:type="dxa"/>
            <w:vAlign w:val="center"/>
          </w:tcPr>
          <w:p w14:paraId="7A7116B9">
            <w:pPr>
              <w:pStyle w:val="11"/>
              <w:keepNext/>
              <w:spacing w:before="240"/>
              <w:jc w:val="center"/>
              <w:rPr>
                <w:color w:val="auto"/>
                <w:sz w:val="20"/>
              </w:rPr>
            </w:pPr>
            <w:r>
              <w:rPr>
                <w:color w:val="auto"/>
                <w:sz w:val="20"/>
              </w:rPr>
              <w:t>Rosenbrock</w:t>
            </w:r>
          </w:p>
        </w:tc>
        <w:tc>
          <w:tcPr>
            <w:tcW w:w="1295" w:type="dxa"/>
            <w:vAlign w:val="center"/>
          </w:tcPr>
          <w:p w14:paraId="5F81BD8D">
            <w:pPr>
              <w:pStyle w:val="11"/>
              <w:keepNext/>
              <w:spacing w:before="240"/>
              <w:jc w:val="center"/>
              <w:rPr>
                <w:i w:val="0"/>
                <w:color w:val="auto"/>
                <w:sz w:val="20"/>
              </w:rPr>
            </w:pPr>
            <w:r>
              <w:rPr>
                <w:i w:val="0"/>
                <w:color w:val="auto"/>
                <w:sz w:val="20"/>
              </w:rPr>
              <w:t>PSO</w:t>
            </w:r>
          </w:p>
        </w:tc>
        <w:tc>
          <w:tcPr>
            <w:tcW w:w="1070" w:type="dxa"/>
            <w:vAlign w:val="center"/>
          </w:tcPr>
          <w:p w14:paraId="0F51BE4A">
            <w:pPr>
              <w:pStyle w:val="11"/>
              <w:keepNext/>
              <w:spacing w:before="240"/>
              <w:jc w:val="center"/>
              <w:rPr>
                <w:i w:val="0"/>
                <w:color w:val="auto"/>
                <w:sz w:val="20"/>
              </w:rPr>
            </w:pPr>
            <w:r>
              <w:rPr>
                <w:i w:val="0"/>
                <w:color w:val="auto"/>
                <w:sz w:val="20"/>
              </w:rPr>
              <w:t>W = 0</w:t>
            </w:r>
          </w:p>
        </w:tc>
        <w:tc>
          <w:tcPr>
            <w:tcW w:w="1021" w:type="dxa"/>
            <w:vAlign w:val="center"/>
          </w:tcPr>
          <w:p w14:paraId="4DFDDE38">
            <w:pPr>
              <w:pStyle w:val="11"/>
              <w:keepNext/>
              <w:spacing w:before="240"/>
              <w:jc w:val="center"/>
              <w:rPr>
                <w:i w:val="0"/>
                <w:color w:val="auto"/>
                <w:sz w:val="20"/>
              </w:rPr>
            </w:pPr>
            <w:r>
              <w:rPr>
                <w:i w:val="0"/>
                <w:color w:val="auto"/>
                <w:sz w:val="20"/>
              </w:rPr>
              <w:t>1,91 × 10⁻⁶</w:t>
            </w:r>
          </w:p>
        </w:tc>
        <w:tc>
          <w:tcPr>
            <w:tcW w:w="1295" w:type="dxa"/>
            <w:vAlign w:val="center"/>
          </w:tcPr>
          <w:p w14:paraId="1F42F32C">
            <w:pPr>
              <w:pStyle w:val="11"/>
              <w:keepNext/>
              <w:spacing w:before="240"/>
              <w:jc w:val="center"/>
              <w:rPr>
                <w:i w:val="0"/>
                <w:color w:val="auto"/>
                <w:sz w:val="20"/>
              </w:rPr>
            </w:pPr>
            <w:r>
              <w:rPr>
                <w:i w:val="0"/>
                <w:color w:val="auto"/>
                <w:sz w:val="20"/>
              </w:rPr>
              <w:t>−2,2536 × 10⁶</w:t>
            </w:r>
          </w:p>
        </w:tc>
        <w:tc>
          <w:tcPr>
            <w:tcW w:w="1072" w:type="dxa"/>
            <w:vAlign w:val="center"/>
          </w:tcPr>
          <w:p w14:paraId="667796E1">
            <w:pPr>
              <w:pStyle w:val="11"/>
              <w:keepNext/>
              <w:spacing w:before="240"/>
              <w:jc w:val="center"/>
              <w:rPr>
                <w:i w:val="0"/>
                <w:color w:val="auto"/>
                <w:sz w:val="20"/>
              </w:rPr>
            </w:pPr>
            <w:r>
              <w:rPr>
                <w:i w:val="0"/>
                <w:color w:val="auto"/>
                <w:sz w:val="20"/>
              </w:rPr>
              <w:t>Signifikan</w:t>
            </w:r>
          </w:p>
        </w:tc>
      </w:tr>
      <w:tr w14:paraId="62B1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0F1C1113">
            <w:pPr>
              <w:pStyle w:val="11"/>
              <w:keepNext/>
              <w:spacing w:before="240"/>
              <w:jc w:val="center"/>
              <w:rPr>
                <w:color w:val="auto"/>
                <w:sz w:val="20"/>
              </w:rPr>
            </w:pPr>
            <w:r>
              <w:rPr>
                <w:color w:val="auto"/>
                <w:sz w:val="20"/>
              </w:rPr>
              <w:t>Friedman</w:t>
            </w:r>
          </w:p>
        </w:tc>
        <w:tc>
          <w:tcPr>
            <w:tcW w:w="1161" w:type="dxa"/>
            <w:vAlign w:val="center"/>
          </w:tcPr>
          <w:p w14:paraId="42C7C3DE">
            <w:pPr>
              <w:pStyle w:val="11"/>
              <w:keepNext/>
              <w:spacing w:before="240"/>
              <w:jc w:val="center"/>
              <w:rPr>
                <w:color w:val="auto"/>
                <w:sz w:val="20"/>
              </w:rPr>
            </w:pPr>
            <w:r>
              <w:rPr>
                <w:color w:val="auto"/>
                <w:sz w:val="20"/>
              </w:rPr>
              <w:t>Ackley</w:t>
            </w:r>
          </w:p>
        </w:tc>
        <w:tc>
          <w:tcPr>
            <w:tcW w:w="1295" w:type="dxa"/>
            <w:vAlign w:val="center"/>
          </w:tcPr>
          <w:p w14:paraId="04B1FDCF">
            <w:pPr>
              <w:pStyle w:val="11"/>
              <w:keepNext/>
              <w:spacing w:before="240"/>
              <w:jc w:val="center"/>
              <w:rPr>
                <w:i w:val="0"/>
                <w:color w:val="auto"/>
                <w:sz w:val="20"/>
              </w:rPr>
            </w:pPr>
            <w:r>
              <w:rPr>
                <w:i w:val="0"/>
                <w:color w:val="auto"/>
                <w:sz w:val="20"/>
              </w:rPr>
              <w:t>Ketiga algoritma</w:t>
            </w:r>
          </w:p>
        </w:tc>
        <w:tc>
          <w:tcPr>
            <w:tcW w:w="1070" w:type="dxa"/>
            <w:vAlign w:val="center"/>
          </w:tcPr>
          <w:p w14:paraId="3B629FBA">
            <w:pPr>
              <w:pStyle w:val="11"/>
              <w:keepNext/>
              <w:spacing w:before="240"/>
              <w:jc w:val="center"/>
              <w:rPr>
                <w:i w:val="0"/>
                <w:color w:val="auto"/>
                <w:sz w:val="20"/>
              </w:rPr>
            </w:pPr>
            <w:r>
              <w:rPr>
                <w:i w:val="0"/>
                <w:color w:val="auto"/>
                <w:sz w:val="20"/>
              </w:rPr>
              <w:t>χ² = 31,60</w:t>
            </w:r>
          </w:p>
        </w:tc>
        <w:tc>
          <w:tcPr>
            <w:tcW w:w="1021" w:type="dxa"/>
            <w:vAlign w:val="center"/>
          </w:tcPr>
          <w:p w14:paraId="51967EE2">
            <w:pPr>
              <w:pStyle w:val="11"/>
              <w:keepNext/>
              <w:spacing w:before="240"/>
              <w:jc w:val="center"/>
              <w:rPr>
                <w:i w:val="0"/>
                <w:color w:val="auto"/>
                <w:sz w:val="20"/>
              </w:rPr>
            </w:pPr>
            <w:r>
              <w:rPr>
                <w:i w:val="0"/>
                <w:color w:val="auto"/>
                <w:sz w:val="20"/>
              </w:rPr>
              <w:t>1,37 × 10⁻⁷</w:t>
            </w:r>
          </w:p>
        </w:tc>
        <w:tc>
          <w:tcPr>
            <w:tcW w:w="1295" w:type="dxa"/>
            <w:vAlign w:val="center"/>
          </w:tcPr>
          <w:p w14:paraId="158E758D">
            <w:pPr>
              <w:pStyle w:val="11"/>
              <w:keepNext/>
              <w:spacing w:before="240"/>
              <w:jc w:val="center"/>
              <w:rPr>
                <w:i w:val="0"/>
                <w:color w:val="auto"/>
                <w:sz w:val="20"/>
              </w:rPr>
            </w:pPr>
            <w:r>
              <w:rPr>
                <w:i w:val="0"/>
                <w:color w:val="auto"/>
                <w:sz w:val="20"/>
              </w:rPr>
              <w:t>–</w:t>
            </w:r>
          </w:p>
        </w:tc>
        <w:tc>
          <w:tcPr>
            <w:tcW w:w="1072" w:type="dxa"/>
            <w:vAlign w:val="center"/>
          </w:tcPr>
          <w:p w14:paraId="154066B6">
            <w:pPr>
              <w:pStyle w:val="11"/>
              <w:keepNext/>
              <w:spacing w:before="240"/>
              <w:jc w:val="center"/>
              <w:rPr>
                <w:i w:val="0"/>
                <w:color w:val="auto"/>
                <w:sz w:val="20"/>
              </w:rPr>
            </w:pPr>
            <w:r>
              <w:rPr>
                <w:i w:val="0"/>
                <w:color w:val="auto"/>
                <w:sz w:val="20"/>
              </w:rPr>
              <w:t>Signifikan</w:t>
            </w:r>
          </w:p>
        </w:tc>
      </w:tr>
      <w:tr w14:paraId="6A83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3C99E299">
            <w:pPr>
              <w:pStyle w:val="11"/>
              <w:keepNext/>
              <w:spacing w:before="240"/>
              <w:jc w:val="center"/>
              <w:rPr>
                <w:color w:val="auto"/>
                <w:sz w:val="20"/>
              </w:rPr>
            </w:pPr>
            <w:r>
              <w:rPr>
                <w:color w:val="auto"/>
                <w:sz w:val="20"/>
              </w:rPr>
              <w:t>Friedman</w:t>
            </w:r>
          </w:p>
        </w:tc>
        <w:tc>
          <w:tcPr>
            <w:tcW w:w="1161" w:type="dxa"/>
            <w:vAlign w:val="center"/>
          </w:tcPr>
          <w:p w14:paraId="7696DE1F">
            <w:pPr>
              <w:pStyle w:val="11"/>
              <w:keepNext/>
              <w:spacing w:before="240"/>
              <w:jc w:val="center"/>
              <w:rPr>
                <w:color w:val="auto"/>
                <w:sz w:val="20"/>
              </w:rPr>
            </w:pPr>
            <w:r>
              <w:rPr>
                <w:color w:val="auto"/>
                <w:sz w:val="20"/>
              </w:rPr>
              <w:t>Rastrigin</w:t>
            </w:r>
          </w:p>
        </w:tc>
        <w:tc>
          <w:tcPr>
            <w:tcW w:w="1295" w:type="dxa"/>
            <w:vAlign w:val="center"/>
          </w:tcPr>
          <w:p w14:paraId="14D44399">
            <w:pPr>
              <w:pStyle w:val="11"/>
              <w:keepNext/>
              <w:spacing w:before="240"/>
              <w:jc w:val="center"/>
              <w:rPr>
                <w:i w:val="0"/>
                <w:color w:val="auto"/>
                <w:sz w:val="20"/>
              </w:rPr>
            </w:pPr>
            <w:r>
              <w:rPr>
                <w:i w:val="0"/>
                <w:color w:val="auto"/>
                <w:sz w:val="20"/>
              </w:rPr>
              <w:t>Ketiga algoritma</w:t>
            </w:r>
          </w:p>
        </w:tc>
        <w:tc>
          <w:tcPr>
            <w:tcW w:w="1070" w:type="dxa"/>
            <w:vAlign w:val="center"/>
          </w:tcPr>
          <w:p w14:paraId="2E3213A2">
            <w:pPr>
              <w:pStyle w:val="11"/>
              <w:keepNext/>
              <w:spacing w:before="240"/>
              <w:jc w:val="center"/>
              <w:rPr>
                <w:i w:val="0"/>
                <w:color w:val="auto"/>
                <w:sz w:val="20"/>
              </w:rPr>
            </w:pPr>
            <w:r>
              <w:rPr>
                <w:i w:val="0"/>
                <w:color w:val="auto"/>
                <w:sz w:val="20"/>
              </w:rPr>
              <w:t>χ² = 32,50</w:t>
            </w:r>
          </w:p>
        </w:tc>
        <w:tc>
          <w:tcPr>
            <w:tcW w:w="1021" w:type="dxa"/>
            <w:vAlign w:val="center"/>
          </w:tcPr>
          <w:p w14:paraId="5227F987">
            <w:pPr>
              <w:pStyle w:val="11"/>
              <w:keepNext/>
              <w:spacing w:before="240"/>
              <w:jc w:val="center"/>
              <w:rPr>
                <w:i w:val="0"/>
                <w:color w:val="auto"/>
                <w:sz w:val="20"/>
              </w:rPr>
            </w:pPr>
            <w:r>
              <w:rPr>
                <w:i w:val="0"/>
                <w:color w:val="auto"/>
                <w:sz w:val="20"/>
              </w:rPr>
              <w:t>8,76 × 10⁻⁸</w:t>
            </w:r>
          </w:p>
        </w:tc>
        <w:tc>
          <w:tcPr>
            <w:tcW w:w="1295" w:type="dxa"/>
            <w:vAlign w:val="center"/>
          </w:tcPr>
          <w:p w14:paraId="629C9B6A">
            <w:pPr>
              <w:pStyle w:val="11"/>
              <w:keepNext/>
              <w:spacing w:before="240"/>
              <w:jc w:val="center"/>
              <w:rPr>
                <w:i w:val="0"/>
                <w:color w:val="auto"/>
                <w:sz w:val="20"/>
              </w:rPr>
            </w:pPr>
            <w:r>
              <w:rPr>
                <w:i w:val="0"/>
                <w:color w:val="auto"/>
                <w:sz w:val="20"/>
              </w:rPr>
              <w:t>–</w:t>
            </w:r>
          </w:p>
        </w:tc>
        <w:tc>
          <w:tcPr>
            <w:tcW w:w="1072" w:type="dxa"/>
            <w:vAlign w:val="center"/>
          </w:tcPr>
          <w:p w14:paraId="2D031683">
            <w:pPr>
              <w:pStyle w:val="11"/>
              <w:keepNext/>
              <w:spacing w:before="240"/>
              <w:jc w:val="center"/>
              <w:rPr>
                <w:i w:val="0"/>
                <w:color w:val="auto"/>
                <w:sz w:val="20"/>
              </w:rPr>
            </w:pPr>
            <w:r>
              <w:rPr>
                <w:i w:val="0"/>
                <w:color w:val="auto"/>
                <w:sz w:val="20"/>
              </w:rPr>
              <w:t>Signifikan</w:t>
            </w:r>
          </w:p>
        </w:tc>
      </w:tr>
      <w:tr w14:paraId="26DB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4FFBCC76">
            <w:pPr>
              <w:pStyle w:val="11"/>
              <w:keepNext/>
              <w:spacing w:before="240"/>
              <w:jc w:val="center"/>
              <w:rPr>
                <w:color w:val="auto"/>
                <w:sz w:val="20"/>
              </w:rPr>
            </w:pPr>
            <w:r>
              <w:rPr>
                <w:color w:val="auto"/>
                <w:sz w:val="20"/>
              </w:rPr>
              <w:t>Friedman</w:t>
            </w:r>
          </w:p>
        </w:tc>
        <w:tc>
          <w:tcPr>
            <w:tcW w:w="1161" w:type="dxa"/>
            <w:vAlign w:val="center"/>
          </w:tcPr>
          <w:p w14:paraId="09DFAA8E">
            <w:pPr>
              <w:pStyle w:val="11"/>
              <w:keepNext/>
              <w:spacing w:before="240"/>
              <w:jc w:val="center"/>
              <w:rPr>
                <w:color w:val="auto"/>
                <w:sz w:val="20"/>
              </w:rPr>
            </w:pPr>
            <w:r>
              <w:rPr>
                <w:color w:val="auto"/>
                <w:sz w:val="20"/>
              </w:rPr>
              <w:t>Rosenbrock</w:t>
            </w:r>
          </w:p>
        </w:tc>
        <w:tc>
          <w:tcPr>
            <w:tcW w:w="1295" w:type="dxa"/>
            <w:vAlign w:val="center"/>
          </w:tcPr>
          <w:p w14:paraId="649EBB56">
            <w:pPr>
              <w:pStyle w:val="11"/>
              <w:keepNext/>
              <w:spacing w:before="240"/>
              <w:jc w:val="center"/>
              <w:rPr>
                <w:i w:val="0"/>
                <w:color w:val="auto"/>
                <w:sz w:val="20"/>
              </w:rPr>
            </w:pPr>
            <w:r>
              <w:rPr>
                <w:i w:val="0"/>
                <w:color w:val="auto"/>
                <w:sz w:val="20"/>
              </w:rPr>
              <w:t>Ketiga algoritma</w:t>
            </w:r>
          </w:p>
        </w:tc>
        <w:tc>
          <w:tcPr>
            <w:tcW w:w="1070" w:type="dxa"/>
            <w:vAlign w:val="center"/>
          </w:tcPr>
          <w:p w14:paraId="3885C376">
            <w:pPr>
              <w:pStyle w:val="11"/>
              <w:keepNext/>
              <w:spacing w:before="240"/>
              <w:jc w:val="center"/>
              <w:rPr>
                <w:i w:val="0"/>
                <w:color w:val="auto"/>
                <w:sz w:val="20"/>
              </w:rPr>
            </w:pPr>
            <w:r>
              <w:rPr>
                <w:i w:val="0"/>
                <w:color w:val="auto"/>
                <w:sz w:val="20"/>
              </w:rPr>
              <w:t>χ² = 31,60</w:t>
            </w:r>
          </w:p>
        </w:tc>
        <w:tc>
          <w:tcPr>
            <w:tcW w:w="1021" w:type="dxa"/>
            <w:vAlign w:val="center"/>
          </w:tcPr>
          <w:p w14:paraId="7EA84AF3">
            <w:pPr>
              <w:pStyle w:val="11"/>
              <w:keepNext/>
              <w:spacing w:before="240"/>
              <w:jc w:val="center"/>
              <w:rPr>
                <w:i w:val="0"/>
                <w:color w:val="auto"/>
                <w:sz w:val="20"/>
              </w:rPr>
            </w:pPr>
            <w:r>
              <w:rPr>
                <w:i w:val="0"/>
                <w:color w:val="auto"/>
                <w:sz w:val="20"/>
              </w:rPr>
              <w:t>1,37 × 10⁻⁷</w:t>
            </w:r>
          </w:p>
        </w:tc>
        <w:tc>
          <w:tcPr>
            <w:tcW w:w="1295" w:type="dxa"/>
            <w:vAlign w:val="center"/>
          </w:tcPr>
          <w:p w14:paraId="19503840">
            <w:pPr>
              <w:pStyle w:val="11"/>
              <w:keepNext/>
              <w:spacing w:before="240"/>
              <w:jc w:val="center"/>
              <w:rPr>
                <w:i w:val="0"/>
                <w:color w:val="auto"/>
                <w:sz w:val="20"/>
              </w:rPr>
            </w:pPr>
            <w:r>
              <w:rPr>
                <w:i w:val="0"/>
                <w:color w:val="auto"/>
                <w:sz w:val="20"/>
              </w:rPr>
              <w:t>–</w:t>
            </w:r>
          </w:p>
        </w:tc>
        <w:tc>
          <w:tcPr>
            <w:tcW w:w="1072" w:type="dxa"/>
            <w:vAlign w:val="center"/>
          </w:tcPr>
          <w:p w14:paraId="358ABF59">
            <w:pPr>
              <w:pStyle w:val="11"/>
              <w:keepNext/>
              <w:spacing w:before="240"/>
              <w:jc w:val="center"/>
              <w:rPr>
                <w:i w:val="0"/>
                <w:color w:val="auto"/>
                <w:sz w:val="20"/>
              </w:rPr>
            </w:pPr>
            <w:r>
              <w:rPr>
                <w:i w:val="0"/>
                <w:color w:val="auto"/>
                <w:sz w:val="20"/>
              </w:rPr>
              <w:t>Signifikan</w:t>
            </w:r>
          </w:p>
        </w:tc>
      </w:tr>
    </w:tbl>
    <w:p w14:paraId="292315AC">
      <w:pPr>
        <w:spacing w:before="240" w:after="0"/>
      </w:pPr>
      <w:bookmarkStart w:id="95" w:name="_Toc236076754"/>
      <w:r>
        <w:t>Keterangan: hasil dinyatakan signifikan pada tingkat signifikansi α=0,05. Median selisih negatif menunjukkan bahwa nilai fungsi objektif IFPOA-X lebih rendah daripada algoritma pembanding.</w:t>
      </w:r>
    </w:p>
    <w:p w14:paraId="580C2464">
      <w:pPr>
        <w:spacing w:after="0"/>
        <w:ind w:firstLine="720"/>
      </w:pPr>
      <w:r>
        <w:t xml:space="preserve">Seluruh perbandingan </w:t>
      </w:r>
      <w:r>
        <w:rPr>
          <w:i/>
        </w:rPr>
        <w:t>Wilcoxon</w:t>
      </w:r>
      <w:r>
        <w:t xml:space="preserve"> menghasilkan </w:t>
      </w:r>
      <w:r>
        <w:rPr>
          <w:i/>
        </w:rPr>
        <w:t>p-value</w:t>
      </w:r>
      <w:r>
        <w:t xml:space="preserve"> yang lebih kecil daripada 0,05. Dengan demikian, nilai fungsi objektif akhir IFPOA-X berbeda secara signifikan dari FPA dan PSO pada fungsi Ackley, Rastrigin, dan Rosenbrock. Median selisih yang seluruhnya bernilai negatif memperlihatkan bahwa arah perbedaan secara konsisten menguntungkan IFPOA-X karena algoritma tersebut menghasilkan nilai fitness yang lebih rendah</w:t>
      </w:r>
      <w:r>
        <w:rPr>
          <w:lang w:val="en-US"/>
        </w:rPr>
        <w:t>.</w:t>
      </w:r>
    </w:p>
    <w:p w14:paraId="3E009BA1">
      <w:pPr>
        <w:spacing w:after="0"/>
        <w:ind w:firstLine="720"/>
      </w:pPr>
      <w:r>
        <w:t xml:space="preserve">Hasil uji Friedman juga menunjukkan adanya perbedaan kinerja yang signifikan di antara ketiga algoritma pada setiap fungsi benchmark. Uji Friedman membuktikan bahwa sekurang-kurangnya terdapat satu algoritma yang memiliki distribusi peringkat berbeda, sedangkan hasil </w:t>
      </w:r>
      <w:r>
        <w:rPr>
          <w:i/>
        </w:rPr>
        <w:t>Wilcoxon</w:t>
      </w:r>
      <w:r>
        <w:t xml:space="preserve"> berpasangan memperjelas bahwa IFPOA-X menghasilkan solusi yang lebih baik daripada FPA dan PSO.</w:t>
      </w:r>
    </w:p>
    <w:p w14:paraId="3DF09DAE">
      <w:pPr>
        <w:ind w:firstLine="720"/>
      </w:pPr>
      <w:r>
        <w:t>Secara keseluruhan, hasil validasi menunjukkan bahwa IFPOA-X mampu menghasilkan solusi yang lebih dekat terhadap optimum global dibandingkan FPA dan PSO di bawah anggaran evaluasi yang ketat dan setara. Meskipun demikian, keunggulan konfigurasi lengkap IFPOA-X belum membuktikan bahwa seluruh mekanisme internalnya memberikan kontribusi positif dengan tingkat yang sama. Oleh karena itu, analisis dilanjutkan melalui studi ablasi untuk mengidentifikasi mekanisme yang memberikan kontribusi efektif, tidak menunjukkan pengaruh kuat, atau justru bersifat kontraproduktif terhadap kinerja algoritma.</w:t>
      </w:r>
    </w:p>
    <w:p w14:paraId="64E69008">
      <w:pPr>
        <w:pStyle w:val="4"/>
      </w:pPr>
      <w:r>
        <w:t>4.1.4 Analisis Ablasi Mekanisme IFPOA-X</w:t>
      </w:r>
      <w:bookmarkEnd w:id="95"/>
    </w:p>
    <w:p w14:paraId="7C305FD0">
      <w:pPr>
        <w:pStyle w:val="65"/>
        <w:spacing w:before="0"/>
        <w:ind w:firstLine="720"/>
        <w:rPr>
          <w:rFonts w:cs="Times New Roman"/>
        </w:rPr>
      </w:pPr>
      <w:r>
        <w:rPr>
          <w:rFonts w:cs="Times New Roman"/>
          <w:lang w:val="en-US"/>
        </w:rPr>
        <w:t>A</w:t>
      </w:r>
      <w:r>
        <w:rPr>
          <w:rFonts w:cs="Times New Roman"/>
        </w:rPr>
        <w:t xml:space="preserve">blasi mekanisme IFPOA-X </w:t>
      </w:r>
      <w:r>
        <w:rPr>
          <w:rFonts w:cs="Times New Roman"/>
          <w:lang w:val="en-US"/>
        </w:rPr>
        <w:t xml:space="preserve">diterapkan </w:t>
      </w:r>
      <w:r>
        <w:rPr>
          <w:rFonts w:cs="Times New Roman"/>
        </w:rPr>
        <w:t xml:space="preserve">pada suite </w:t>
      </w:r>
      <w:r>
        <w:rPr>
          <w:rFonts w:cs="Times New Roman"/>
          <w:i/>
        </w:rPr>
        <w:t>benchmark</w:t>
      </w:r>
      <w:r>
        <w:rPr>
          <w:rFonts w:cs="Times New Roman"/>
        </w:rPr>
        <w:t xml:space="preserve"> F1-F13 berdimensi</w:t>
      </w:r>
      <w:r>
        <w:rPr>
          <w:rFonts w:cs="Times New Roman"/>
          <w:lang w:val="en-US"/>
        </w:rPr>
        <w:t xml:space="preserve"> </w:t>
      </w:r>
      <w:r>
        <w:rPr>
          <w:rFonts w:cs="Times New Roman"/>
        </w:rPr>
        <w:t xml:space="preserve">dengan anggaran 500 NFE dan 20 run berpasangan untuk setiap fungsi. Ablasi dilakukan dengan mematikan komponen tertentu dari IFPOA-X, yaitu OBL, JADE-style </w:t>
      </w:r>
      <w:r>
        <w:rPr>
          <w:rFonts w:cs="Times New Roman"/>
          <w:i/>
        </w:rPr>
        <w:t>local search</w:t>
      </w:r>
      <w:r>
        <w:rPr>
          <w:rFonts w:cs="Times New Roman"/>
        </w:rPr>
        <w:t>, dan UCB</w:t>
      </w:r>
      <w:r>
        <w:rPr>
          <w:rFonts w:cs="Times New Roman"/>
          <w:lang w:val="en-US"/>
        </w:rPr>
        <w:t>1</w:t>
      </w:r>
      <w:r>
        <w:rPr>
          <w:rFonts w:cs="Times New Roman"/>
        </w:rPr>
        <w:t>, serta satu varian dasar ketika ketiga komponen tersebut dinonaktifkan. Dengan cara ini, kontribusi setiap mekanisme tidak hanya diasumsikan dari rancangan algoritma, tetapi diuji langsung melalui perubahan performa ketika komponen tersebut dicopot.</w:t>
      </w:r>
    </w:p>
    <w:p w14:paraId="66D8B7C1">
      <w:pPr>
        <w:pStyle w:val="11"/>
        <w:keepNext/>
        <w:jc w:val="center"/>
        <w:rPr>
          <w:b/>
          <w:i w:val="0"/>
          <w:color w:val="auto"/>
          <w:sz w:val="24"/>
        </w:rPr>
      </w:pPr>
      <w:bookmarkStart w:id="96" w:name="_Toc236786426"/>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3</w:t>
      </w:r>
      <w:r>
        <w:rPr>
          <w:b/>
          <w:i w:val="0"/>
          <w:color w:val="auto"/>
          <w:sz w:val="24"/>
        </w:rPr>
        <w:fldChar w:fldCharType="end"/>
      </w:r>
      <w:r>
        <w:rPr>
          <w:b/>
          <w:i w:val="0"/>
          <w:color w:val="auto"/>
          <w:sz w:val="24"/>
          <w:lang w:val="en-US"/>
        </w:rPr>
        <w:t xml:space="preserve"> Ringkasan Ablasi Mekanisme IFPOA-X</w:t>
      </w:r>
      <w:bookmarkEnd w:id="96"/>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2035"/>
        <w:gridCol w:w="2037"/>
        <w:gridCol w:w="2037"/>
      </w:tblGrid>
      <w:tr w14:paraId="3818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79" w:type="dxa"/>
            <w:vAlign w:val="center"/>
          </w:tcPr>
          <w:p w14:paraId="230E576F">
            <w:pPr>
              <w:pStyle w:val="66"/>
              <w:jc w:val="center"/>
              <w:rPr>
                <w:rFonts w:cs="Times New Roman"/>
                <w:b/>
                <w:bCs/>
                <w:sz w:val="22"/>
              </w:rPr>
            </w:pPr>
            <w:r>
              <w:rPr>
                <w:rFonts w:cs="Times New Roman"/>
                <w:b/>
                <w:bCs/>
                <w:sz w:val="22"/>
              </w:rPr>
              <w:t>Komponen / Varian</w:t>
            </w:r>
          </w:p>
        </w:tc>
        <w:tc>
          <w:tcPr>
            <w:tcW w:w="1979" w:type="dxa"/>
            <w:vAlign w:val="center"/>
          </w:tcPr>
          <w:p w14:paraId="783CFB83">
            <w:pPr>
              <w:pStyle w:val="66"/>
              <w:jc w:val="center"/>
              <w:rPr>
                <w:rFonts w:cs="Times New Roman"/>
                <w:b/>
                <w:bCs/>
                <w:sz w:val="22"/>
              </w:rPr>
            </w:pPr>
            <w:r>
              <w:rPr>
                <w:rFonts w:cs="Times New Roman"/>
                <w:b/>
                <w:bCs/>
                <w:sz w:val="22"/>
              </w:rPr>
              <w:t>Bentuk pengujian ablasi</w:t>
            </w:r>
          </w:p>
        </w:tc>
        <w:tc>
          <w:tcPr>
            <w:tcW w:w="1980" w:type="dxa"/>
            <w:vAlign w:val="center"/>
          </w:tcPr>
          <w:p w14:paraId="5689C7A6">
            <w:pPr>
              <w:pStyle w:val="66"/>
              <w:jc w:val="center"/>
              <w:rPr>
                <w:rFonts w:cs="Times New Roman"/>
                <w:b/>
                <w:bCs/>
                <w:sz w:val="22"/>
              </w:rPr>
            </w:pPr>
            <w:r>
              <w:rPr>
                <w:rFonts w:cs="Times New Roman"/>
                <w:b/>
                <w:bCs/>
                <w:sz w:val="22"/>
              </w:rPr>
              <w:t>Temuan empiris</w:t>
            </w:r>
          </w:p>
        </w:tc>
        <w:tc>
          <w:tcPr>
            <w:tcW w:w="1980" w:type="dxa"/>
            <w:vAlign w:val="center"/>
          </w:tcPr>
          <w:p w14:paraId="7EBD1D44">
            <w:pPr>
              <w:pStyle w:val="66"/>
              <w:jc w:val="center"/>
              <w:rPr>
                <w:rFonts w:cs="Times New Roman"/>
                <w:b/>
                <w:bCs/>
                <w:sz w:val="22"/>
              </w:rPr>
            </w:pPr>
            <w:r>
              <w:rPr>
                <w:rFonts w:cs="Times New Roman"/>
                <w:b/>
                <w:bCs/>
                <w:sz w:val="22"/>
              </w:rPr>
              <w:t>Makna algoritmik</w:t>
            </w:r>
          </w:p>
        </w:tc>
      </w:tr>
      <w:tr w14:paraId="18C9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9" w:type="dxa"/>
          </w:tcPr>
          <w:p w14:paraId="293618B8">
            <w:pPr>
              <w:pStyle w:val="66"/>
              <w:jc w:val="center"/>
              <w:rPr>
                <w:rFonts w:cs="Times New Roman"/>
                <w:sz w:val="22"/>
              </w:rPr>
            </w:pPr>
            <w:r>
              <w:rPr>
                <w:rFonts w:cs="Times New Roman"/>
                <w:sz w:val="22"/>
              </w:rPr>
              <w:t>OBL</w:t>
            </w:r>
          </w:p>
        </w:tc>
        <w:tc>
          <w:tcPr>
            <w:tcW w:w="1979" w:type="dxa"/>
          </w:tcPr>
          <w:p w14:paraId="1B5F1E9E">
            <w:pPr>
              <w:pStyle w:val="66"/>
              <w:jc w:val="center"/>
              <w:rPr>
                <w:rFonts w:cs="Times New Roman"/>
                <w:sz w:val="22"/>
              </w:rPr>
            </w:pPr>
            <w:r>
              <w:rPr>
                <w:rFonts w:cs="Times New Roman"/>
                <w:sz w:val="22"/>
              </w:rPr>
              <w:t>Komponen OBL dinonaktifkan (</w:t>
            </w:r>
            <w:r>
              <w:rPr>
                <w:rFonts w:cs="Times New Roman"/>
                <w:sz w:val="22"/>
                <w:lang w:val="en-US"/>
              </w:rPr>
              <w:t>t</w:t>
            </w:r>
            <w:r>
              <w:rPr>
                <w:lang w:val="en-US"/>
              </w:rPr>
              <w:t>anpa</w:t>
            </w:r>
            <w:r>
              <w:rPr>
                <w:rStyle w:val="41"/>
                <w:rFonts w:ascii="Times New Roman" w:hAnsi="Times New Roman" w:cs="Times New Roman"/>
                <w:sz w:val="22"/>
              </w:rPr>
              <w:t xml:space="preserve"> OBL</w:t>
            </w:r>
            <w:r>
              <w:rPr>
                <w:rFonts w:cs="Times New Roman"/>
                <w:sz w:val="22"/>
              </w:rPr>
              <w:t>)</w:t>
            </w:r>
          </w:p>
        </w:tc>
        <w:tc>
          <w:tcPr>
            <w:tcW w:w="1980" w:type="dxa"/>
          </w:tcPr>
          <w:p w14:paraId="2B2649B9">
            <w:pPr>
              <w:pStyle w:val="66"/>
              <w:jc w:val="center"/>
              <w:rPr>
                <w:rFonts w:cs="Times New Roman"/>
                <w:sz w:val="22"/>
              </w:rPr>
            </w:pPr>
            <w:r>
              <w:rPr>
                <w:rFonts w:cs="Times New Roman"/>
                <w:sz w:val="22"/>
              </w:rPr>
              <w:t xml:space="preserve">Ketika OBL dinonaktifkan, performa algoritma menurun secara signifikan pada 12 dari 13 fungsi uji. </w:t>
            </w:r>
          </w:p>
        </w:tc>
        <w:tc>
          <w:tcPr>
            <w:tcW w:w="1980" w:type="dxa"/>
          </w:tcPr>
          <w:p w14:paraId="76E70C21">
            <w:pPr>
              <w:pStyle w:val="66"/>
              <w:jc w:val="center"/>
              <w:rPr>
                <w:rFonts w:cs="Times New Roman"/>
                <w:sz w:val="22"/>
              </w:rPr>
            </w:pPr>
            <w:r>
              <w:rPr>
                <w:rFonts w:cs="Times New Roman"/>
                <w:sz w:val="22"/>
              </w:rPr>
              <w:t>OBL merupakan kontributor paling dominan dalam IFPOA-X</w:t>
            </w:r>
            <w:r>
              <w:rPr>
                <w:rFonts w:cs="Times New Roman"/>
                <w:sz w:val="22"/>
                <w:lang w:val="en-US"/>
              </w:rPr>
              <w:t xml:space="preserve">. </w:t>
            </w:r>
            <w:r>
              <w:rPr>
                <w:rFonts w:cs="Times New Roman"/>
                <w:sz w:val="22"/>
              </w:rPr>
              <w:t>Mekanisme ini memperluas cakupan pencarian dan membantu keluar dari stagnasi dini.</w:t>
            </w:r>
          </w:p>
        </w:tc>
      </w:tr>
      <w:tr w14:paraId="0B74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9" w:type="dxa"/>
          </w:tcPr>
          <w:p w14:paraId="7D3F85C0">
            <w:pPr>
              <w:pStyle w:val="66"/>
              <w:jc w:val="center"/>
              <w:rPr>
                <w:rFonts w:cs="Times New Roman"/>
                <w:sz w:val="22"/>
              </w:rPr>
            </w:pPr>
            <w:r>
              <w:rPr>
                <w:rFonts w:cs="Times New Roman"/>
                <w:sz w:val="22"/>
              </w:rPr>
              <w:t>UCB1</w:t>
            </w:r>
          </w:p>
        </w:tc>
        <w:tc>
          <w:tcPr>
            <w:tcW w:w="1979" w:type="dxa"/>
          </w:tcPr>
          <w:p w14:paraId="08FB2378">
            <w:pPr>
              <w:pStyle w:val="66"/>
              <w:jc w:val="center"/>
              <w:rPr>
                <w:rFonts w:cs="Times New Roman"/>
                <w:sz w:val="22"/>
              </w:rPr>
            </w:pPr>
            <w:r>
              <w:rPr>
                <w:rFonts w:cs="Times New Roman"/>
                <w:sz w:val="22"/>
              </w:rPr>
              <w:t>Pemilihan operator adaptif dinonaktifkan dan diganti seleksi acak seragam (</w:t>
            </w:r>
            <w:r>
              <w:rPr>
                <w:rFonts w:cs="Times New Roman"/>
                <w:sz w:val="22"/>
                <w:lang w:val="en-US"/>
              </w:rPr>
              <w:t>t</w:t>
            </w:r>
            <w:r>
              <w:rPr>
                <w:lang w:val="en-US"/>
              </w:rPr>
              <w:t>anpa</w:t>
            </w:r>
            <w:r>
              <w:rPr>
                <w:rStyle w:val="41"/>
                <w:rFonts w:ascii="Times New Roman" w:hAnsi="Times New Roman" w:cs="Times New Roman"/>
                <w:sz w:val="22"/>
              </w:rPr>
              <w:t xml:space="preserve"> </w:t>
            </w:r>
            <w:r>
              <w:rPr>
                <w:rStyle w:val="41"/>
                <w:rFonts w:ascii="Times New Roman" w:hAnsi="Times New Roman" w:cs="Times New Roman"/>
                <w:sz w:val="22"/>
                <w:lang w:val="en-US"/>
              </w:rPr>
              <w:t>UCB1</w:t>
            </w:r>
            <w:r>
              <w:rPr>
                <w:rFonts w:cs="Times New Roman"/>
                <w:sz w:val="22"/>
              </w:rPr>
              <w:t>)</w:t>
            </w:r>
          </w:p>
        </w:tc>
        <w:tc>
          <w:tcPr>
            <w:tcW w:w="1980" w:type="dxa"/>
          </w:tcPr>
          <w:p w14:paraId="258C6ADE">
            <w:pPr>
              <w:pStyle w:val="66"/>
              <w:jc w:val="center"/>
              <w:rPr>
                <w:rFonts w:cs="Times New Roman"/>
                <w:sz w:val="22"/>
              </w:rPr>
            </w:pPr>
            <w:r>
              <w:rPr>
                <w:rFonts w:cs="Times New Roman"/>
                <w:sz w:val="22"/>
              </w:rPr>
              <w:t>Sebanyak 12 dari 13 fungsi tidak menunjukkan perbedaan yang signifikan secara statistik, sedangkan satu fungsi menunjukkan perbedaan yang signifikan.</w:t>
            </w:r>
          </w:p>
        </w:tc>
        <w:tc>
          <w:tcPr>
            <w:tcW w:w="1980" w:type="dxa"/>
          </w:tcPr>
          <w:p w14:paraId="16EC89F0">
            <w:pPr>
              <w:pStyle w:val="66"/>
              <w:jc w:val="center"/>
              <w:rPr>
                <w:rFonts w:cs="Times New Roman"/>
                <w:sz w:val="22"/>
              </w:rPr>
            </w:pPr>
            <w:r>
              <w:rPr>
                <w:rFonts w:cs="Times New Roman"/>
                <w:sz w:val="22"/>
              </w:rPr>
              <w:t xml:space="preserve">Kontribusi UCB1 belum terdeteksi kuat pada budget 500 NFE. Sinyal antaroperator terlalu mirip sehingga </w:t>
            </w:r>
            <w:r>
              <w:rPr>
                <w:rFonts w:cs="Times New Roman"/>
                <w:sz w:val="22"/>
                <w:lang w:val="en-US"/>
              </w:rPr>
              <w:t>UCB1</w:t>
            </w:r>
            <w:r>
              <w:rPr>
                <w:rFonts w:cs="Times New Roman"/>
                <w:sz w:val="22"/>
              </w:rPr>
              <w:t xml:space="preserve"> belum sempat membedakan operator terbaik secara stabil.</w:t>
            </w:r>
          </w:p>
        </w:tc>
      </w:tr>
      <w:tr w14:paraId="70DF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9" w:type="dxa"/>
          </w:tcPr>
          <w:p w14:paraId="0D9356EF">
            <w:pPr>
              <w:pStyle w:val="66"/>
              <w:jc w:val="center"/>
              <w:rPr>
                <w:rFonts w:cs="Times New Roman"/>
                <w:sz w:val="22"/>
              </w:rPr>
            </w:pPr>
            <w:r>
              <w:rPr>
                <w:rFonts w:cs="Times New Roman"/>
                <w:sz w:val="22"/>
              </w:rPr>
              <w:t>JADE-</w:t>
            </w:r>
            <w:r>
              <w:rPr>
                <w:rFonts w:cs="Times New Roman"/>
                <w:i/>
                <w:sz w:val="22"/>
              </w:rPr>
              <w:t>style local search</w:t>
            </w:r>
          </w:p>
        </w:tc>
        <w:tc>
          <w:tcPr>
            <w:tcW w:w="1979" w:type="dxa"/>
          </w:tcPr>
          <w:p w14:paraId="687AB902">
            <w:pPr>
              <w:pStyle w:val="66"/>
              <w:jc w:val="center"/>
              <w:rPr>
                <w:rFonts w:cs="Times New Roman"/>
                <w:sz w:val="22"/>
              </w:rPr>
            </w:pPr>
            <w:r>
              <w:rPr>
                <w:rFonts w:cs="Times New Roman"/>
                <w:sz w:val="22"/>
              </w:rPr>
              <w:t>Operator lokal JADE</w:t>
            </w:r>
            <w:r>
              <w:rPr>
                <w:rFonts w:cs="Times New Roman"/>
                <w:i/>
                <w:sz w:val="22"/>
              </w:rPr>
              <w:t>-style</w:t>
            </w:r>
            <w:r>
              <w:rPr>
                <w:rFonts w:cs="Times New Roman"/>
                <w:sz w:val="22"/>
              </w:rPr>
              <w:t xml:space="preserve"> dinonaktifkan (</w:t>
            </w:r>
            <w:r>
              <w:rPr>
                <w:rStyle w:val="41"/>
                <w:rFonts w:ascii="Times New Roman" w:hAnsi="Times New Roman" w:cs="Times New Roman"/>
                <w:sz w:val="22"/>
              </w:rPr>
              <w:t>no JADE</w:t>
            </w:r>
            <w:r>
              <w:rPr>
                <w:rFonts w:cs="Times New Roman"/>
                <w:sz w:val="22"/>
              </w:rPr>
              <w:t>)</w:t>
            </w:r>
          </w:p>
        </w:tc>
        <w:tc>
          <w:tcPr>
            <w:tcW w:w="1980" w:type="dxa"/>
          </w:tcPr>
          <w:p w14:paraId="471865AE">
            <w:pPr>
              <w:pStyle w:val="66"/>
              <w:jc w:val="center"/>
              <w:rPr>
                <w:rFonts w:cs="Times New Roman"/>
                <w:sz w:val="22"/>
                <w:lang w:val="en-US"/>
              </w:rPr>
            </w:pPr>
            <w:r>
              <w:rPr>
                <w:rFonts w:cs="Times New Roman"/>
                <w:sz w:val="22"/>
              </w:rPr>
              <w:t>Pencopotan JADE justru memperbaiki hasil pada 11 dari 13 fungsi</w:t>
            </w:r>
            <w:r>
              <w:rPr>
                <w:rFonts w:cs="Times New Roman"/>
                <w:sz w:val="22"/>
                <w:lang w:val="en-US"/>
              </w:rPr>
              <w:t>.</w:t>
            </w:r>
          </w:p>
        </w:tc>
        <w:tc>
          <w:tcPr>
            <w:tcW w:w="1980" w:type="dxa"/>
          </w:tcPr>
          <w:p w14:paraId="0E01A9E4">
            <w:pPr>
              <w:pStyle w:val="66"/>
              <w:jc w:val="center"/>
              <w:rPr>
                <w:rFonts w:cs="Times New Roman"/>
                <w:sz w:val="22"/>
              </w:rPr>
            </w:pPr>
            <w:r>
              <w:rPr>
                <w:rFonts w:cs="Times New Roman"/>
                <w:sz w:val="22"/>
              </w:rPr>
              <w:t xml:space="preserve">Dalam konfigurasi </w:t>
            </w:r>
            <w:r>
              <w:rPr>
                <w:rFonts w:cs="Times New Roman"/>
                <w:i/>
                <w:sz w:val="22"/>
              </w:rPr>
              <w:t>low-budge</w:t>
            </w:r>
            <w:r>
              <w:rPr>
                <w:rFonts w:cs="Times New Roman"/>
                <w:sz w:val="22"/>
              </w:rPr>
              <w:t>t ini, JADE-</w:t>
            </w:r>
            <w:r>
              <w:rPr>
                <w:rFonts w:cs="Times New Roman"/>
                <w:i/>
                <w:sz w:val="22"/>
              </w:rPr>
              <w:t xml:space="preserve">style local search </w:t>
            </w:r>
            <w:r>
              <w:rPr>
                <w:rFonts w:cs="Times New Roman"/>
                <w:sz w:val="22"/>
              </w:rPr>
              <w:t>bersifat kontraproduktif karena langkah eksploitasi lokalnya mengganggu arah pencarian yang sudah didorong oleh OBL.</w:t>
            </w:r>
          </w:p>
        </w:tc>
      </w:tr>
      <w:tr w14:paraId="4D41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9" w:type="dxa"/>
          </w:tcPr>
          <w:p w14:paraId="42F198CE">
            <w:pPr>
              <w:pStyle w:val="66"/>
              <w:jc w:val="center"/>
              <w:rPr>
                <w:rFonts w:cs="Times New Roman"/>
                <w:sz w:val="22"/>
              </w:rPr>
            </w:pPr>
            <w:r>
              <w:rPr>
                <w:rFonts w:cs="Times New Roman"/>
                <w:i/>
                <w:sz w:val="22"/>
              </w:rPr>
              <w:t>Base variant</w:t>
            </w:r>
            <w:r>
              <w:rPr>
                <w:rFonts w:cs="Times New Roman"/>
                <w:sz w:val="22"/>
              </w:rPr>
              <w:t xml:space="preserve"> FPA</w:t>
            </w:r>
          </w:p>
        </w:tc>
        <w:tc>
          <w:tcPr>
            <w:tcW w:w="1979" w:type="dxa"/>
          </w:tcPr>
          <w:p w14:paraId="497FF9F7">
            <w:pPr>
              <w:pStyle w:val="66"/>
              <w:jc w:val="center"/>
              <w:rPr>
                <w:rFonts w:cs="Times New Roman"/>
                <w:sz w:val="22"/>
              </w:rPr>
            </w:pPr>
            <w:r>
              <w:rPr>
                <w:rFonts w:cs="Times New Roman"/>
                <w:sz w:val="22"/>
              </w:rPr>
              <w:t>OBL, JADE, dan UCB1 dinonaktifkan sekaligus (</w:t>
            </w:r>
            <w:r>
              <w:rPr>
                <w:rStyle w:val="41"/>
                <w:rFonts w:ascii="Times New Roman" w:hAnsi="Times New Roman" w:cs="Times New Roman"/>
                <w:i/>
                <w:sz w:val="22"/>
              </w:rPr>
              <w:t>base</w:t>
            </w:r>
            <w:r>
              <w:rPr>
                <w:rFonts w:cs="Times New Roman"/>
                <w:sz w:val="22"/>
              </w:rPr>
              <w:t>)</w:t>
            </w:r>
          </w:p>
        </w:tc>
        <w:tc>
          <w:tcPr>
            <w:tcW w:w="1980" w:type="dxa"/>
          </w:tcPr>
          <w:p w14:paraId="4DA55E7C">
            <w:pPr>
              <w:pStyle w:val="66"/>
              <w:jc w:val="center"/>
              <w:rPr>
                <w:rFonts w:cs="Times New Roman"/>
                <w:sz w:val="22"/>
              </w:rPr>
            </w:pPr>
            <w:r>
              <w:rPr>
                <w:rFonts w:cs="Times New Roman"/>
                <w:sz w:val="22"/>
              </w:rPr>
              <w:t xml:space="preserve">Pola degradasinya hampir sama dengan varian </w:t>
            </w:r>
            <w:r>
              <w:rPr>
                <w:rStyle w:val="41"/>
                <w:rFonts w:ascii="Times New Roman" w:hAnsi="Times New Roman" w:cs="Times New Roman"/>
                <w:sz w:val="22"/>
              </w:rPr>
              <w:t>no OBL</w:t>
            </w:r>
            <w:r>
              <w:rPr>
                <w:rFonts w:cs="Times New Roman"/>
                <w:sz w:val="22"/>
              </w:rPr>
              <w:t>, yaitu memburuk pada 12 fungsi dan tie pada 1 fungsi.</w:t>
            </w:r>
          </w:p>
        </w:tc>
        <w:tc>
          <w:tcPr>
            <w:tcW w:w="1980" w:type="dxa"/>
          </w:tcPr>
          <w:p w14:paraId="5C268826">
            <w:pPr>
              <w:pStyle w:val="66"/>
              <w:jc w:val="center"/>
              <w:rPr>
                <w:rFonts w:cs="Times New Roman"/>
                <w:sz w:val="22"/>
              </w:rPr>
            </w:pPr>
            <w:r>
              <w:rPr>
                <w:rFonts w:cs="Times New Roman"/>
                <w:sz w:val="22"/>
              </w:rPr>
              <w:t>Selisih utama antara IFPOA-X dan varian dasar terutama dijelaskan oleh OBL, bukan oleh akumulasi semua mekanisme secara merata.</w:t>
            </w:r>
          </w:p>
        </w:tc>
      </w:tr>
    </w:tbl>
    <w:p w14:paraId="3534BC64">
      <w:pPr>
        <w:pStyle w:val="65"/>
        <w:spacing w:before="0" w:after="0"/>
        <w:ind w:firstLine="720"/>
      </w:pPr>
      <w:r>
        <w:t xml:space="preserve">Hasil analisis ablasi </w:t>
      </w:r>
      <w:r>
        <w:rPr>
          <w:lang w:val="en-US"/>
        </w:rPr>
        <w:t xml:space="preserve">pada Tabel 4. 3 </w:t>
      </w:r>
      <w:r>
        <w:t>menunjukkan bahwa performa unggul IFPOA-X utamanya dipicu oleh mekanisme OBL, bukan kontribusi merata dari seluruh komponen. Temuan ini secara akademis mengubah narasi konvensional bahwa "algoritma hibrida selalu lebih baik karena kaya mekanisme" menjadi pemahaman yang lebih presisi: IFPOA-X efektif ketika mekanisme oposisi berhasil memperluas cakupan ruang pencarian, sementara komponen adaptif lainnya belum tentu memberikan nilai tambah pada anggaran evaluasi</w:t>
      </w:r>
      <w:r>
        <w:rPr>
          <w:lang w:val="en-US"/>
        </w:rPr>
        <w:t xml:space="preserve"> </w:t>
      </w:r>
      <w:r>
        <w:t>yang sangat ketat. Dengan demikian, kontribusi algoritmik penelitian ini mencakup identifikasi eksplisit mengenai komponen yang efektif, netral, maupun yang membutuhkan penyempurnaan pada studi mendatang.</w:t>
      </w:r>
      <w:r>
        <w:rPr>
          <w:lang w:val="en-US"/>
        </w:rPr>
        <w:t xml:space="preserve"> </w:t>
      </w:r>
      <w:r>
        <w:t xml:space="preserve">Pada fungsi objektif dengan titik optimum berlokasi di dekat pusat domain, kandidat oposisi cenderung menghasilkan nilai yang optimal. Sebaliknya, ketika titik optimum bergeser jauh dari pusat, keunggulan OBL berpotensi menurun. </w:t>
      </w:r>
      <w:r>
        <w:rPr>
          <w:lang w:val="en-US"/>
        </w:rPr>
        <w:t>Maka</w:t>
      </w:r>
      <w:r>
        <w:t>, efektivitas penggunaan IFPOA-X pada tahap HPO curah hujan harus dimaknai secara proporsional. IFPOA-X diposisikan sebagai algoritma optimasi yang kompetitif dan teruji, tanpa klaim superioritas mutlak pada seluruh karakteristik ruang pencarian</w:t>
      </w:r>
      <w:r>
        <w:rPr>
          <w:lang w:val="en-US"/>
        </w:rPr>
        <w:t>, s</w:t>
      </w:r>
      <w:r>
        <w:t xml:space="preserve">ejalan dengan prinsip </w:t>
      </w:r>
      <w:r>
        <w:rPr>
          <w:i/>
          <w:iCs/>
        </w:rPr>
        <w:t>No Free Lunch Theorem</w:t>
      </w:r>
      <w:r>
        <w:rPr>
          <w:i/>
          <w:iCs/>
          <w:lang w:val="en-US"/>
        </w:rPr>
        <w:t xml:space="preserve"> </w:t>
      </w:r>
      <w:r>
        <w:rPr>
          <w:i/>
          <w:iCs/>
          <w:lang w:val="en-US"/>
        </w:rPr>
        <w:fldChar w:fldCharType="begin" w:fldLock="1"/>
      </w:r>
      <w:r>
        <w:rPr>
          <w:i/>
          <w:iCs/>
          <w:lang w:val="en-US"/>
        </w:rPr>
        <w:instrText xml:space="preserve">ADDIN CSL_CITATION {"citationItems":[{"id":"ITEM-1","itemData":{"DOI":"10.1109/4235.585893","ISSN":"1941-0026 VO  - 1","author":[{"dropping-particle":"","family":"Wolpert","given":"D H","non-dropping-particle":"","parse-names":false,"suffix":""},{"dropping-particle":"","family":"Macready","given":"W G","non-dropping-particle":"","parse-names":false,"suffix":""}],"container-title":"IEEE Transactions on Evolutionary Computation","id":"ITEM-1","issue":"1","issued":{"date-parts":[["1997"]]},"page":"67-82","title":"No free lunch theorems for optimization","type":"article-journal","volume":"1"},"uris":["http://www.mendeley.com/documents/?uuid=24bdd8aa-8219-4c40-bbda-217b407e508e"]}],"mendeley":{"formattedCitation":"(Wolpert dan Macready, 1997)","plainTextFormattedCitation":"(Wolpert dan Macready, 1997)","previouslyFormattedCitation":"(Wolpert dan Macready, 1997)"},"properties":{"noteIndex":0},"schema":"https://github.com/citation-style-language/schema/raw/master/csl-citation.json"}</w:instrText>
      </w:r>
      <w:r>
        <w:rPr>
          <w:i/>
          <w:iCs/>
          <w:lang w:val="en-US"/>
        </w:rPr>
        <w:fldChar w:fldCharType="separate"/>
      </w:r>
      <w:r>
        <w:rPr>
          <w:iCs/>
          <w:lang w:val="en-US"/>
        </w:rPr>
        <w:t>(Wolpert dan Macready, 1997)</w:t>
      </w:r>
      <w:r>
        <w:rPr>
          <w:i/>
          <w:iCs/>
          <w:lang w:val="en-US"/>
        </w:rPr>
        <w:fldChar w:fldCharType="end"/>
      </w:r>
      <w:r>
        <w:t>.</w:t>
      </w:r>
    </w:p>
    <w:p w14:paraId="3312F27E">
      <w:pPr>
        <w:pStyle w:val="65"/>
        <w:spacing w:before="0" w:after="0"/>
        <w:ind w:firstLine="720"/>
      </w:pPr>
      <w:r>
        <w:t>Temuan ilmiah utama dari studi ablasi ini bukan bahwa semakin banyak mekanisme hibrida akan selalu menghasilkan algoritma yang semakin baik. Hasil penelitian justru memperlihatkan bahwa manfaat suatu mekanisme sangat bergantung pada karakteristik landscape dan anggaran evaluasi. OBL memberikan kontribusi yang paling konsisten karena memperluas cakupan pencarian dan mengurangi stagnasi dini. Sebaliknya, manfaat UCB1 belum terdeteksi secara kuat pada anggaran 500 NFE, sedangkan JADE</w:t>
      </w:r>
      <w:r>
        <w:rPr>
          <w:i/>
        </w:rPr>
        <w:t>-style local</w:t>
      </w:r>
      <w:r>
        <w:t xml:space="preserve"> search dapat menjadi kontraproduktif karena mengalokasikan evaluasi pada eksploitasi lokal ketika proses pencarian masih memerlukan eksplorasi global. Dengan demikian, kompleksitas hibrida bukan tujuan pada dirinya sendiri; setiap mekanisme harus dipertahankan berdasarkan kontribusi empirisnya, bukan hanya berdasarkan kelengkapan rancangan algoritma.</w:t>
      </w:r>
    </w:p>
    <w:p w14:paraId="50CC2C71">
      <w:pPr>
        <w:pStyle w:val="3"/>
      </w:pPr>
      <w:bookmarkStart w:id="97" w:name="_Toc236076755"/>
      <w:bookmarkStart w:id="98" w:name="deskripsi-data-dan-karakteristik-dataset"/>
      <w:r>
        <w:t>4.2 Karakteristik Dataset</w:t>
      </w:r>
      <w:bookmarkEnd w:id="97"/>
    </w:p>
    <w:p w14:paraId="0B9C4321">
      <w:pPr>
        <w:pStyle w:val="65"/>
        <w:spacing w:before="0" w:after="0"/>
        <w:ind w:firstLine="720"/>
        <w:rPr>
          <w:rFonts w:cs="Times New Roman"/>
          <w:lang w:val="en-US"/>
        </w:rPr>
      </w:pPr>
      <w:r>
        <w:rPr>
          <w:rFonts w:cs="Times New Roman"/>
        </w:rPr>
        <w:t>Data sumber Jawa Barat tersedia sebagai</w:t>
      </w:r>
      <w:r>
        <w:rPr>
          <w:rFonts w:cs="Times New Roman"/>
          <w:lang w:val="en-US"/>
        </w:rPr>
        <w:t xml:space="preserve"> </w:t>
      </w:r>
      <w:r>
        <w:rPr>
          <w:rFonts w:cs="Times New Roman"/>
          <w:i/>
          <w:lang w:val="en-US"/>
        </w:rPr>
        <w:t>split</w:t>
      </w:r>
      <w:r>
        <w:rPr>
          <w:rFonts w:cs="Times New Roman"/>
        </w:rPr>
        <w:t xml:space="preserve"> gabungan</w:t>
      </w:r>
      <w:r>
        <w:rPr>
          <w:rFonts w:cs="Times New Roman"/>
          <w:lang w:val="en-US"/>
        </w:rPr>
        <w:t xml:space="preserve"> </w:t>
      </w:r>
      <w:r>
        <w:rPr>
          <w:rFonts w:cs="Times New Roman"/>
          <w:i/>
          <w:iCs/>
        </w:rPr>
        <w:t>combined_train</w:t>
      </w:r>
      <w:r>
        <w:rPr>
          <w:rFonts w:cs="Times New Roman"/>
        </w:rPr>
        <w:t xml:space="preserve">, </w:t>
      </w:r>
      <w:r>
        <w:rPr>
          <w:rFonts w:cs="Times New Roman"/>
          <w:i/>
          <w:iCs/>
        </w:rPr>
        <w:t>combined_val</w:t>
      </w:r>
      <w:r>
        <w:rPr>
          <w:rFonts w:cs="Times New Roman"/>
        </w:rPr>
        <w:t xml:space="preserve">, dan </w:t>
      </w:r>
      <w:r>
        <w:rPr>
          <w:rFonts w:cs="Times New Roman"/>
          <w:i/>
          <w:iCs/>
        </w:rPr>
        <w:t>combined_test</w:t>
      </w:r>
      <w:r>
        <w:rPr>
          <w:rFonts w:cs="Times New Roman"/>
        </w:rPr>
        <w:t xml:space="preserve">, sedangkan data target </w:t>
      </w:r>
      <w:r>
        <w:rPr>
          <w:rFonts w:cs="Times New Roman"/>
          <w:i/>
        </w:rPr>
        <w:t>transfer</w:t>
      </w:r>
      <w:r>
        <w:rPr>
          <w:rFonts w:cs="Times New Roman"/>
        </w:rPr>
        <w:t xml:space="preserve"> tersedia sebagai seri target yang kemudian dibagi internal menjadi </w:t>
      </w:r>
      <w:r>
        <w:rPr>
          <w:rFonts w:cs="Times New Roman"/>
          <w:i/>
          <w:iCs/>
        </w:rPr>
        <w:t>train</w:t>
      </w:r>
      <w:r>
        <w:rPr>
          <w:rFonts w:cs="Times New Roman"/>
        </w:rPr>
        <w:t xml:space="preserve">, </w:t>
      </w:r>
      <w:r>
        <w:rPr>
          <w:rFonts w:cs="Times New Roman"/>
          <w:i/>
          <w:iCs/>
        </w:rPr>
        <w:t>validation</w:t>
      </w:r>
      <w:r>
        <w:rPr>
          <w:rFonts w:cs="Times New Roman"/>
        </w:rPr>
        <w:t xml:space="preserve">, dan </w:t>
      </w:r>
      <w:r>
        <w:rPr>
          <w:rFonts w:cs="Times New Roman"/>
          <w:i/>
          <w:iCs/>
        </w:rPr>
        <w:t xml:space="preserve">test </w:t>
      </w:r>
      <w:r>
        <w:rPr>
          <w:rFonts w:cs="Times New Roman"/>
        </w:rPr>
        <w:t>pada saat adaptasi model</w:t>
      </w:r>
      <w:r>
        <w:rPr>
          <w:rFonts w:cs="Times New Roman"/>
          <w:lang w:val="en-US"/>
        </w:rPr>
        <w:t xml:space="preserve"> (contoh: kupang_train.csv)</w:t>
      </w:r>
      <w:r>
        <w:rPr>
          <w:rFonts w:cs="Times New Roman"/>
        </w:rPr>
        <w:t xml:space="preserve">. Setelah pembentukan fitur lag, jumlah rekaman efektif menjadi 1.287 dasarian per POS sumber. Pengurangan ini wajar karena </w:t>
      </w:r>
      <w:r>
        <w:rPr>
          <w:rFonts w:cs="Times New Roman"/>
          <w:lang w:val="en-US"/>
        </w:rPr>
        <w:t>3</w:t>
      </w:r>
      <w:r>
        <w:rPr>
          <w:rFonts w:cs="Times New Roman"/>
        </w:rPr>
        <w:t xml:space="preserve"> dasarian awal dipakai sebagai lag masukan, bukan sampel prediksi.</w:t>
      </w:r>
    </w:p>
    <w:p w14:paraId="63471BCE">
      <w:pPr>
        <w:pStyle w:val="65"/>
        <w:spacing w:before="0"/>
        <w:ind w:firstLine="720"/>
        <w:rPr>
          <w:rFonts w:cs="Times New Roman"/>
        </w:rPr>
      </w:pPr>
      <w:r>
        <w:rPr>
          <w:rFonts w:cs="Times New Roman"/>
        </w:rPr>
        <w:t xml:space="preserve">Distribusi curah hujan pada seluruh lokasi bersifat menceng ke kanan, sehingga transformasi penstabil varians menjadi kebutuhan yang sahih pada tahap pemodelan. </w:t>
      </w:r>
      <w:r>
        <w:rPr>
          <w:rFonts w:cs="Times New Roman"/>
          <w:lang w:val="en-US"/>
        </w:rPr>
        <w:t>Tabel 4. 4</w:t>
      </w:r>
      <w:r>
        <w:rPr>
          <w:rFonts w:cs="Times New Roman"/>
        </w:rPr>
        <w:t xml:space="preserve"> ini </w:t>
      </w:r>
      <w:r>
        <w:rPr>
          <w:rFonts w:cs="Times New Roman"/>
          <w:lang w:val="en-US"/>
        </w:rPr>
        <w:t>memperlihatkan</w:t>
      </w:r>
      <w:r>
        <w:rPr>
          <w:rFonts w:cs="Times New Roman"/>
        </w:rPr>
        <w:t xml:space="preserve"> perbedaan antar-pola hujan yang menjadi dasar pengujian </w:t>
      </w:r>
      <w:r>
        <w:rPr>
          <w:rFonts w:cs="Times New Roman"/>
          <w:i/>
        </w:rPr>
        <w:t>robustness</w:t>
      </w:r>
      <w:r>
        <w:rPr>
          <w:rFonts w:cs="Times New Roman"/>
        </w:rPr>
        <w:t xml:space="preserve"> dan </w:t>
      </w:r>
      <w:r>
        <w:rPr>
          <w:rFonts w:cs="Times New Roman"/>
          <w:i/>
        </w:rPr>
        <w:t>transfer learning</w:t>
      </w:r>
      <w:r>
        <w:rPr>
          <w:rFonts w:cs="Times New Roman"/>
        </w:rPr>
        <w:t>. Wilayah target Kupang memiliki proporsi dasarian kering tertinggi dengan median yang sangat rendah, Padang merupakan wilayah terbasah dengan jumlah dasarian kering yang sangat sedikit, sedangkan Ambon menunjukkan kemencengan distribusi yang paling tinggi. Wilayah sumber Jawa Barat berada pada rentang monsunal moderat, tetapi tetap bervariasi, sehingga memberikan ruang yang memadai untuk menguji kemampuan generalisasi model.</w:t>
      </w:r>
      <w:r>
        <w:rPr>
          <w:rFonts w:cs="Times New Roman"/>
          <w:lang w:val="en-US"/>
        </w:rPr>
        <w:t xml:space="preserve"> </w:t>
      </w:r>
    </w:p>
    <w:p w14:paraId="3A02A665">
      <w:pPr>
        <w:pStyle w:val="11"/>
        <w:keepNext/>
        <w:jc w:val="center"/>
        <w:rPr>
          <w:b/>
          <w:i w:val="0"/>
          <w:color w:val="auto"/>
          <w:sz w:val="24"/>
          <w:lang w:val="en-US"/>
        </w:rPr>
      </w:pPr>
      <w:bookmarkStart w:id="99" w:name="_Toc236786427"/>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4</w:t>
      </w:r>
      <w:r>
        <w:rPr>
          <w:b/>
          <w:i w:val="0"/>
          <w:color w:val="auto"/>
          <w:sz w:val="24"/>
        </w:rPr>
        <w:fldChar w:fldCharType="end"/>
      </w:r>
      <w:r>
        <w:rPr>
          <w:b/>
          <w:i w:val="0"/>
          <w:color w:val="auto"/>
          <w:sz w:val="24"/>
          <w:lang w:val="en-US"/>
        </w:rPr>
        <w:t xml:space="preserve"> Statistik Deskriptif Curah Hujan Dasarian Hasil </w:t>
      </w:r>
      <w:r>
        <w:rPr>
          <w:b/>
          <w:color w:val="auto"/>
          <w:sz w:val="24"/>
          <w:lang w:val="en-US"/>
        </w:rPr>
        <w:t>Preprocessing</w:t>
      </w:r>
      <w:bookmarkEnd w:id="99"/>
      <w:r>
        <w:rPr>
          <w:b/>
          <w:i w:val="0"/>
          <w:color w:val="auto"/>
          <w:sz w:val="24"/>
          <w:lang w:val="en-US"/>
        </w:rPr>
        <w:t xml:space="preserve"> </w:t>
      </w:r>
    </w:p>
    <w:tbl>
      <w:tblPr>
        <w:tblStyle w:val="67"/>
        <w:tblW w:w="4922" w:type="pct"/>
        <w:tblInd w:w="0" w:type="dxa"/>
        <w:tblLayout w:type="fixed"/>
        <w:tblCellMar>
          <w:top w:w="0" w:type="dxa"/>
          <w:left w:w="108" w:type="dxa"/>
          <w:bottom w:w="0" w:type="dxa"/>
          <w:right w:w="108" w:type="dxa"/>
        </w:tblCellMar>
      </w:tblPr>
      <w:tblGrid>
        <w:gridCol w:w="1393"/>
        <w:gridCol w:w="799"/>
        <w:gridCol w:w="865"/>
        <w:gridCol w:w="904"/>
        <w:gridCol w:w="722"/>
        <w:gridCol w:w="878"/>
        <w:gridCol w:w="1126"/>
        <w:gridCol w:w="1331"/>
      </w:tblGrid>
      <w:tr w14:paraId="1BEA4CE2">
        <w:tblPrEx>
          <w:tblCellMar>
            <w:top w:w="0" w:type="dxa"/>
            <w:left w:w="108" w:type="dxa"/>
            <w:bottom w:w="0" w:type="dxa"/>
            <w:right w:w="108" w:type="dxa"/>
          </w:tblCellMar>
        </w:tblPrEx>
        <w:trPr>
          <w:tblHeader/>
        </w:trPr>
        <w:tc>
          <w:tcPr>
            <w:tcW w:w="86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2B65480">
            <w:pPr>
              <w:pStyle w:val="66"/>
              <w:jc w:val="center"/>
              <w:rPr>
                <w:rFonts w:cs="Times New Roman"/>
                <w:b/>
                <w:bCs/>
                <w:color w:val="000000"/>
                <w:sz w:val="20"/>
                <w:szCs w:val="20"/>
              </w:rPr>
            </w:pPr>
            <w:r>
              <w:rPr>
                <w:rFonts w:cs="Times New Roman"/>
                <w:b/>
                <w:bCs/>
                <w:color w:val="000000"/>
                <w:sz w:val="20"/>
                <w:szCs w:val="20"/>
              </w:rPr>
              <w:t>Lokasi</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463E0">
            <w:pPr>
              <w:pStyle w:val="66"/>
              <w:jc w:val="center"/>
              <w:rPr>
                <w:rFonts w:cs="Times New Roman"/>
                <w:b/>
                <w:bCs/>
                <w:color w:val="000000"/>
                <w:sz w:val="20"/>
                <w:szCs w:val="20"/>
              </w:rPr>
            </w:pPr>
            <m:oMathPara>
              <m:oMath>
                <m:r>
                  <m:rPr>
                    <m:nor/>
                    <m:sty m:val="bi"/>
                  </m:rPr>
                  <w:rPr>
                    <w:rFonts w:cs="Times New Roman"/>
                    <w:b/>
                    <w:bCs/>
                    <w:i/>
                    <w:color w:val="000000"/>
                    <w:sz w:val="20"/>
                    <w:szCs w:val="20"/>
                  </w:rPr>
                  <m:t>n</m:t>
                </m:r>
              </m:oMath>
            </m:oMathPara>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87D1D">
            <w:pPr>
              <w:pStyle w:val="66"/>
              <w:jc w:val="center"/>
              <w:rPr>
                <w:rFonts w:cs="Times New Roman"/>
                <w:b/>
                <w:bCs/>
                <w:color w:val="000000"/>
                <w:sz w:val="20"/>
                <w:szCs w:val="20"/>
              </w:rPr>
            </w:pPr>
            <w:r>
              <w:rPr>
                <w:rFonts w:cs="Times New Roman"/>
                <w:b/>
                <w:bCs/>
                <w:color w:val="000000"/>
                <w:sz w:val="20"/>
                <w:szCs w:val="20"/>
              </w:rPr>
              <w:t>Rata-rata (mm)</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49B60">
            <w:pPr>
              <w:pStyle w:val="66"/>
              <w:jc w:val="center"/>
              <w:rPr>
                <w:rFonts w:cs="Times New Roman"/>
                <w:b/>
                <w:bCs/>
                <w:color w:val="000000"/>
                <w:sz w:val="20"/>
                <w:szCs w:val="20"/>
              </w:rPr>
            </w:pPr>
            <w:r>
              <w:rPr>
                <w:rFonts w:cs="Times New Roman"/>
                <w:b/>
                <w:bCs/>
                <w:color w:val="000000"/>
                <w:sz w:val="20"/>
                <w:szCs w:val="20"/>
              </w:rPr>
              <w:t>Median (mm)</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9838D">
            <w:pPr>
              <w:pStyle w:val="66"/>
              <w:jc w:val="center"/>
              <w:rPr>
                <w:rFonts w:cs="Times New Roman"/>
                <w:b/>
                <w:bCs/>
                <w:color w:val="000000"/>
                <w:sz w:val="20"/>
                <w:szCs w:val="20"/>
              </w:rPr>
            </w:pPr>
            <w:r>
              <w:rPr>
                <w:rFonts w:cs="Times New Roman"/>
                <w:b/>
                <w:bCs/>
                <w:color w:val="000000"/>
                <w:sz w:val="20"/>
                <w:szCs w:val="20"/>
              </w:rPr>
              <w:t>Std (mm)</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86B40">
            <w:pPr>
              <w:pStyle w:val="66"/>
              <w:jc w:val="center"/>
              <w:rPr>
                <w:rFonts w:cs="Times New Roman"/>
                <w:b/>
                <w:bCs/>
                <w:color w:val="000000"/>
                <w:sz w:val="20"/>
                <w:szCs w:val="20"/>
              </w:rPr>
            </w:pPr>
            <w:r>
              <w:rPr>
                <w:rFonts w:cs="Times New Roman"/>
                <w:b/>
                <w:bCs/>
                <w:color w:val="000000"/>
                <w:sz w:val="20"/>
                <w:szCs w:val="20"/>
              </w:rPr>
              <w:t>Maks (mm)</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7447A">
            <w:pPr>
              <w:pStyle w:val="66"/>
              <w:jc w:val="center"/>
              <w:rPr>
                <w:rFonts w:cs="Times New Roman"/>
                <w:b/>
                <w:bCs/>
                <w:color w:val="000000"/>
                <w:sz w:val="20"/>
                <w:szCs w:val="20"/>
              </w:rPr>
            </w:pPr>
            <w:r>
              <w:rPr>
                <w:rFonts w:cs="Times New Roman"/>
                <w:b/>
                <w:bCs/>
                <w:color w:val="000000"/>
                <w:sz w:val="20"/>
                <w:szCs w:val="20"/>
              </w:rPr>
              <w:t>Skewness</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AC813">
            <w:pPr>
              <w:pStyle w:val="66"/>
              <w:jc w:val="center"/>
              <w:rPr>
                <w:rFonts w:cs="Times New Roman"/>
                <w:b/>
                <w:bCs/>
                <w:color w:val="000000"/>
                <w:sz w:val="20"/>
                <w:szCs w:val="20"/>
              </w:rPr>
            </w:pPr>
            <w:r>
              <w:rPr>
                <w:rFonts w:cs="Times New Roman"/>
                <w:b/>
                <w:bCs/>
                <w:color w:val="000000"/>
                <w:sz w:val="20"/>
                <w:szCs w:val="20"/>
              </w:rPr>
              <w:t>Dasarian Kering (%)</w:t>
            </w:r>
          </w:p>
        </w:tc>
      </w:tr>
      <w:tr w14:paraId="1D3F92D0">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434A0">
            <w:pPr>
              <w:pStyle w:val="66"/>
              <w:jc w:val="center"/>
              <w:rPr>
                <w:rFonts w:cs="Times New Roman"/>
                <w:color w:val="000000"/>
                <w:sz w:val="20"/>
                <w:szCs w:val="20"/>
              </w:rPr>
            </w:pPr>
            <w:r>
              <w:rPr>
                <w:rFonts w:cs="Times New Roman"/>
                <w:color w:val="000000"/>
                <w:sz w:val="20"/>
                <w:szCs w:val="20"/>
              </w:rPr>
              <w:t>Bogor</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38C47">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97BCD">
            <w:pPr>
              <w:pStyle w:val="66"/>
              <w:jc w:val="center"/>
              <w:rPr>
                <w:rFonts w:cs="Times New Roman"/>
                <w:color w:val="000000"/>
                <w:sz w:val="20"/>
                <w:szCs w:val="20"/>
              </w:rPr>
            </w:pPr>
            <w:r>
              <w:rPr>
                <w:rFonts w:cs="Times New Roman"/>
                <w:color w:val="000000"/>
                <w:sz w:val="20"/>
                <w:szCs w:val="20"/>
              </w:rPr>
              <w:t>166,1</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F329F">
            <w:pPr>
              <w:pStyle w:val="66"/>
              <w:jc w:val="center"/>
              <w:rPr>
                <w:rFonts w:cs="Times New Roman"/>
                <w:color w:val="000000"/>
                <w:sz w:val="20"/>
                <w:szCs w:val="20"/>
              </w:rPr>
            </w:pPr>
            <w:r>
              <w:rPr>
                <w:rFonts w:cs="Times New Roman"/>
                <w:color w:val="000000"/>
                <w:sz w:val="20"/>
                <w:szCs w:val="20"/>
              </w:rPr>
              <w:t>155,1</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60514">
            <w:pPr>
              <w:pStyle w:val="66"/>
              <w:jc w:val="center"/>
              <w:rPr>
                <w:rFonts w:cs="Times New Roman"/>
                <w:color w:val="000000"/>
                <w:sz w:val="20"/>
                <w:szCs w:val="20"/>
              </w:rPr>
            </w:pPr>
            <w:r>
              <w:rPr>
                <w:rFonts w:cs="Times New Roman"/>
                <w:color w:val="000000"/>
                <w:sz w:val="20"/>
                <w:szCs w:val="20"/>
              </w:rPr>
              <w:t>105,1</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DD244">
            <w:pPr>
              <w:pStyle w:val="66"/>
              <w:jc w:val="center"/>
              <w:rPr>
                <w:rFonts w:cs="Times New Roman"/>
                <w:color w:val="000000"/>
                <w:sz w:val="20"/>
                <w:szCs w:val="20"/>
              </w:rPr>
            </w:pPr>
            <w:r>
              <w:rPr>
                <w:rFonts w:cs="Times New Roman"/>
                <w:color w:val="000000"/>
                <w:sz w:val="20"/>
                <w:szCs w:val="20"/>
              </w:rPr>
              <w:t>553,1</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85A2A">
            <w:pPr>
              <w:pStyle w:val="66"/>
              <w:jc w:val="center"/>
              <w:rPr>
                <w:rFonts w:cs="Times New Roman"/>
                <w:color w:val="000000"/>
                <w:sz w:val="20"/>
                <w:szCs w:val="20"/>
              </w:rPr>
            </w:pPr>
            <w:r>
              <w:rPr>
                <w:rFonts w:cs="Times New Roman"/>
                <w:color w:val="000000"/>
                <w:sz w:val="20"/>
                <w:szCs w:val="20"/>
              </w:rPr>
              <w:t>0,53</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7C079">
            <w:pPr>
              <w:pStyle w:val="66"/>
              <w:jc w:val="center"/>
              <w:rPr>
                <w:rFonts w:cs="Times New Roman"/>
                <w:color w:val="000000"/>
                <w:sz w:val="20"/>
                <w:szCs w:val="20"/>
              </w:rPr>
            </w:pPr>
            <w:r>
              <w:rPr>
                <w:rFonts w:cs="Times New Roman"/>
                <w:color w:val="000000"/>
                <w:sz w:val="20"/>
                <w:szCs w:val="20"/>
              </w:rPr>
              <w:t>5,1</w:t>
            </w:r>
          </w:p>
        </w:tc>
      </w:tr>
      <w:tr w14:paraId="70AE0021">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FF986">
            <w:pPr>
              <w:pStyle w:val="66"/>
              <w:jc w:val="center"/>
              <w:rPr>
                <w:rFonts w:cs="Times New Roman"/>
                <w:color w:val="000000"/>
                <w:sz w:val="20"/>
                <w:szCs w:val="20"/>
              </w:rPr>
            </w:pPr>
            <w:r>
              <w:rPr>
                <w:rFonts w:cs="Times New Roman"/>
                <w:color w:val="000000"/>
                <w:sz w:val="20"/>
                <w:szCs w:val="20"/>
              </w:rPr>
              <w:t>Bandung</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459DA">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7E7AD">
            <w:pPr>
              <w:pStyle w:val="66"/>
              <w:jc w:val="center"/>
              <w:rPr>
                <w:rFonts w:cs="Times New Roman"/>
                <w:color w:val="000000"/>
                <w:sz w:val="20"/>
                <w:szCs w:val="20"/>
              </w:rPr>
            </w:pPr>
            <w:r>
              <w:rPr>
                <w:rFonts w:cs="Times New Roman"/>
                <w:color w:val="000000"/>
                <w:sz w:val="20"/>
                <w:szCs w:val="20"/>
              </w:rPr>
              <w:t>186,4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F8567">
            <w:pPr>
              <w:pStyle w:val="66"/>
              <w:jc w:val="center"/>
              <w:rPr>
                <w:rFonts w:cs="Times New Roman"/>
                <w:color w:val="000000"/>
                <w:sz w:val="20"/>
                <w:szCs w:val="20"/>
              </w:rPr>
            </w:pPr>
            <w:r>
              <w:rPr>
                <w:rFonts w:cs="Times New Roman"/>
                <w:color w:val="000000"/>
                <w:sz w:val="20"/>
                <w:szCs w:val="20"/>
              </w:rPr>
              <w:t>169,6</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DAB0A">
            <w:pPr>
              <w:pStyle w:val="66"/>
              <w:jc w:val="center"/>
              <w:rPr>
                <w:rFonts w:cs="Times New Roman"/>
                <w:color w:val="000000"/>
                <w:sz w:val="20"/>
                <w:szCs w:val="20"/>
              </w:rPr>
            </w:pPr>
            <w:r>
              <w:rPr>
                <w:rFonts w:cs="Times New Roman"/>
                <w:color w:val="000000"/>
                <w:sz w:val="20"/>
                <w:szCs w:val="20"/>
              </w:rPr>
              <w:t>131,9</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79923">
            <w:pPr>
              <w:pStyle w:val="66"/>
              <w:jc w:val="center"/>
              <w:rPr>
                <w:rFonts w:cs="Times New Roman"/>
                <w:color w:val="000000"/>
                <w:sz w:val="20"/>
                <w:szCs w:val="20"/>
              </w:rPr>
            </w:pPr>
            <w:r>
              <w:rPr>
                <w:rFonts w:cs="Times New Roman"/>
                <w:color w:val="000000"/>
                <w:sz w:val="20"/>
                <w:szCs w:val="20"/>
              </w:rPr>
              <w:t>670,0</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AD352">
            <w:pPr>
              <w:pStyle w:val="66"/>
              <w:jc w:val="center"/>
              <w:rPr>
                <w:rFonts w:cs="Times New Roman"/>
                <w:color w:val="000000"/>
                <w:sz w:val="20"/>
                <w:szCs w:val="20"/>
              </w:rPr>
            </w:pPr>
            <w:r>
              <w:rPr>
                <w:rFonts w:cs="Times New Roman"/>
                <w:color w:val="000000"/>
                <w:sz w:val="20"/>
                <w:szCs w:val="20"/>
              </w:rPr>
              <w:t>0,55</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9B127">
            <w:pPr>
              <w:pStyle w:val="66"/>
              <w:jc w:val="center"/>
              <w:rPr>
                <w:rFonts w:cs="Times New Roman"/>
                <w:color w:val="000000"/>
                <w:sz w:val="20"/>
                <w:szCs w:val="20"/>
              </w:rPr>
            </w:pPr>
            <w:r>
              <w:rPr>
                <w:rFonts w:cs="Times New Roman"/>
                <w:color w:val="000000"/>
                <w:sz w:val="20"/>
                <w:szCs w:val="20"/>
              </w:rPr>
              <w:t>8,5</w:t>
            </w:r>
          </w:p>
        </w:tc>
      </w:tr>
      <w:tr w14:paraId="474BA352">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7DF75">
            <w:pPr>
              <w:pStyle w:val="66"/>
              <w:jc w:val="center"/>
              <w:rPr>
                <w:rFonts w:cs="Times New Roman"/>
                <w:color w:val="000000"/>
                <w:sz w:val="20"/>
                <w:szCs w:val="20"/>
              </w:rPr>
            </w:pPr>
            <w:r>
              <w:rPr>
                <w:rFonts w:cs="Times New Roman"/>
                <w:color w:val="000000"/>
                <w:sz w:val="20"/>
                <w:szCs w:val="20"/>
              </w:rPr>
              <w:t>Bekasi</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473E2">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E598C">
            <w:pPr>
              <w:pStyle w:val="66"/>
              <w:jc w:val="center"/>
              <w:rPr>
                <w:rFonts w:cs="Times New Roman"/>
                <w:color w:val="000000"/>
                <w:sz w:val="20"/>
                <w:szCs w:val="20"/>
              </w:rPr>
            </w:pPr>
            <w:r>
              <w:rPr>
                <w:rFonts w:cs="Times New Roman"/>
                <w:color w:val="000000"/>
                <w:sz w:val="20"/>
                <w:szCs w:val="20"/>
              </w:rPr>
              <w:t>115,2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E55C3">
            <w:pPr>
              <w:pStyle w:val="66"/>
              <w:jc w:val="center"/>
              <w:rPr>
                <w:rFonts w:cs="Times New Roman"/>
                <w:color w:val="000000"/>
                <w:sz w:val="20"/>
                <w:szCs w:val="20"/>
              </w:rPr>
            </w:pPr>
            <w:r>
              <w:rPr>
                <w:rFonts w:cs="Times New Roman"/>
                <w:color w:val="000000"/>
                <w:sz w:val="20"/>
                <w:szCs w:val="20"/>
              </w:rPr>
              <w:t>105,0</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CBDBC">
            <w:pPr>
              <w:pStyle w:val="66"/>
              <w:jc w:val="center"/>
              <w:rPr>
                <w:rFonts w:cs="Times New Roman"/>
                <w:color w:val="000000"/>
                <w:sz w:val="20"/>
                <w:szCs w:val="20"/>
              </w:rPr>
            </w:pPr>
            <w:r>
              <w:rPr>
                <w:rFonts w:cs="Times New Roman"/>
                <w:color w:val="000000"/>
                <w:sz w:val="20"/>
                <w:szCs w:val="20"/>
              </w:rPr>
              <w:t>87,6</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78900">
            <w:pPr>
              <w:pStyle w:val="66"/>
              <w:jc w:val="center"/>
              <w:rPr>
                <w:rFonts w:cs="Times New Roman"/>
                <w:color w:val="000000"/>
                <w:sz w:val="20"/>
                <w:szCs w:val="20"/>
              </w:rPr>
            </w:pPr>
            <w:r>
              <w:rPr>
                <w:rFonts w:cs="Times New Roman"/>
                <w:color w:val="000000"/>
                <w:sz w:val="20"/>
                <w:szCs w:val="20"/>
              </w:rPr>
              <w:t>570,5</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F9C35">
            <w:pPr>
              <w:pStyle w:val="66"/>
              <w:jc w:val="center"/>
              <w:rPr>
                <w:rFonts w:cs="Times New Roman"/>
                <w:color w:val="000000"/>
                <w:sz w:val="20"/>
                <w:szCs w:val="20"/>
              </w:rPr>
            </w:pPr>
            <w:r>
              <w:rPr>
                <w:rFonts w:cs="Times New Roman"/>
                <w:color w:val="000000"/>
                <w:sz w:val="20"/>
                <w:szCs w:val="20"/>
              </w:rPr>
              <w:t>0,72</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8784A">
            <w:pPr>
              <w:pStyle w:val="66"/>
              <w:jc w:val="center"/>
              <w:rPr>
                <w:rFonts w:cs="Times New Roman"/>
                <w:color w:val="000000"/>
                <w:sz w:val="20"/>
                <w:szCs w:val="20"/>
              </w:rPr>
            </w:pPr>
            <w:r>
              <w:rPr>
                <w:rFonts w:cs="Times New Roman"/>
                <w:color w:val="000000"/>
                <w:sz w:val="20"/>
                <w:szCs w:val="20"/>
              </w:rPr>
              <w:t>16,2</w:t>
            </w:r>
          </w:p>
        </w:tc>
      </w:tr>
      <w:tr w14:paraId="5D67475F">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5651E">
            <w:pPr>
              <w:pStyle w:val="66"/>
              <w:jc w:val="center"/>
              <w:rPr>
                <w:rFonts w:cs="Times New Roman"/>
                <w:color w:val="000000"/>
                <w:sz w:val="20"/>
                <w:szCs w:val="20"/>
              </w:rPr>
            </w:pPr>
            <w:r>
              <w:rPr>
                <w:rFonts w:cs="Times New Roman"/>
                <w:color w:val="000000"/>
                <w:sz w:val="20"/>
                <w:szCs w:val="20"/>
              </w:rPr>
              <w:t>Cirebon</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5120F">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27AFB">
            <w:pPr>
              <w:pStyle w:val="66"/>
              <w:jc w:val="center"/>
              <w:rPr>
                <w:rFonts w:cs="Times New Roman"/>
                <w:color w:val="000000"/>
                <w:sz w:val="20"/>
                <w:szCs w:val="20"/>
              </w:rPr>
            </w:pPr>
            <w:r>
              <w:rPr>
                <w:rFonts w:cs="Times New Roman"/>
                <w:color w:val="000000"/>
                <w:sz w:val="20"/>
                <w:szCs w:val="20"/>
              </w:rPr>
              <w:t>122,1</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4A522">
            <w:pPr>
              <w:pStyle w:val="66"/>
              <w:jc w:val="center"/>
              <w:rPr>
                <w:rFonts w:cs="Times New Roman"/>
                <w:color w:val="000000"/>
                <w:sz w:val="20"/>
                <w:szCs w:val="20"/>
              </w:rPr>
            </w:pPr>
            <w:r>
              <w:rPr>
                <w:rFonts w:cs="Times New Roman"/>
                <w:color w:val="000000"/>
                <w:sz w:val="20"/>
                <w:szCs w:val="20"/>
              </w:rPr>
              <w:t>91,1</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FDACD">
            <w:pPr>
              <w:pStyle w:val="66"/>
              <w:jc w:val="center"/>
              <w:rPr>
                <w:rFonts w:cs="Times New Roman"/>
                <w:color w:val="000000"/>
                <w:sz w:val="20"/>
                <w:szCs w:val="20"/>
              </w:rPr>
            </w:pPr>
            <w:r>
              <w:rPr>
                <w:rFonts w:cs="Times New Roman"/>
                <w:color w:val="000000"/>
                <w:sz w:val="20"/>
                <w:szCs w:val="20"/>
              </w:rPr>
              <w:t>119,3</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9AEF5">
            <w:pPr>
              <w:pStyle w:val="66"/>
              <w:jc w:val="center"/>
              <w:rPr>
                <w:rFonts w:cs="Times New Roman"/>
                <w:color w:val="000000"/>
                <w:sz w:val="20"/>
                <w:szCs w:val="20"/>
              </w:rPr>
            </w:pPr>
            <w:r>
              <w:rPr>
                <w:rFonts w:cs="Times New Roman"/>
                <w:color w:val="000000"/>
                <w:sz w:val="20"/>
                <w:szCs w:val="20"/>
              </w:rPr>
              <w:t>533,5</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9C798">
            <w:pPr>
              <w:pStyle w:val="66"/>
              <w:jc w:val="center"/>
              <w:rPr>
                <w:rFonts w:cs="Times New Roman"/>
                <w:color w:val="000000"/>
                <w:sz w:val="20"/>
                <w:szCs w:val="20"/>
              </w:rPr>
            </w:pPr>
            <w:r>
              <w:rPr>
                <w:rFonts w:cs="Times New Roman"/>
                <w:color w:val="000000"/>
                <w:sz w:val="20"/>
                <w:szCs w:val="20"/>
              </w:rPr>
              <w:t>0,83</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ADCD9">
            <w:pPr>
              <w:pStyle w:val="66"/>
              <w:jc w:val="center"/>
              <w:rPr>
                <w:rFonts w:cs="Times New Roman"/>
                <w:color w:val="000000"/>
                <w:sz w:val="20"/>
                <w:szCs w:val="20"/>
              </w:rPr>
            </w:pPr>
            <w:r>
              <w:rPr>
                <w:rFonts w:cs="Times New Roman"/>
                <w:color w:val="000000"/>
                <w:sz w:val="20"/>
                <w:szCs w:val="20"/>
              </w:rPr>
              <w:t>29,7</w:t>
            </w:r>
          </w:p>
        </w:tc>
      </w:tr>
      <w:tr w14:paraId="7680C5BD">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9FFD8">
            <w:pPr>
              <w:pStyle w:val="66"/>
              <w:jc w:val="center"/>
              <w:rPr>
                <w:rFonts w:cs="Times New Roman"/>
                <w:color w:val="000000"/>
                <w:sz w:val="20"/>
                <w:szCs w:val="20"/>
              </w:rPr>
            </w:pPr>
            <w:r>
              <w:rPr>
                <w:rFonts w:cs="Times New Roman"/>
                <w:color w:val="000000"/>
                <w:sz w:val="20"/>
                <w:szCs w:val="20"/>
              </w:rPr>
              <w:t>Cianjur</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8F6BC">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E4809">
            <w:pPr>
              <w:pStyle w:val="66"/>
              <w:jc w:val="center"/>
              <w:rPr>
                <w:rFonts w:cs="Times New Roman"/>
                <w:color w:val="000000"/>
                <w:sz w:val="20"/>
                <w:szCs w:val="20"/>
              </w:rPr>
            </w:pPr>
            <w:r>
              <w:rPr>
                <w:rFonts w:cs="Times New Roman"/>
                <w:color w:val="000000"/>
                <w:sz w:val="20"/>
                <w:szCs w:val="20"/>
              </w:rPr>
              <w:t>146,9</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E74E3">
            <w:pPr>
              <w:pStyle w:val="66"/>
              <w:jc w:val="center"/>
              <w:rPr>
                <w:rFonts w:cs="Times New Roman"/>
                <w:color w:val="000000"/>
                <w:sz w:val="20"/>
                <w:szCs w:val="20"/>
              </w:rPr>
            </w:pPr>
            <w:r>
              <w:rPr>
                <w:rFonts w:cs="Times New Roman"/>
                <w:color w:val="000000"/>
                <w:sz w:val="20"/>
                <w:szCs w:val="20"/>
              </w:rPr>
              <w:t>129,1</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6E65B">
            <w:pPr>
              <w:pStyle w:val="66"/>
              <w:jc w:val="center"/>
              <w:rPr>
                <w:rFonts w:cs="Times New Roman"/>
                <w:color w:val="000000"/>
                <w:sz w:val="20"/>
                <w:szCs w:val="20"/>
              </w:rPr>
            </w:pPr>
            <w:r>
              <w:rPr>
                <w:rFonts w:cs="Times New Roman"/>
                <w:color w:val="000000"/>
                <w:sz w:val="20"/>
                <w:szCs w:val="20"/>
              </w:rPr>
              <w:t>112,0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00C3E">
            <w:pPr>
              <w:pStyle w:val="66"/>
              <w:jc w:val="center"/>
              <w:rPr>
                <w:rFonts w:cs="Times New Roman"/>
                <w:color w:val="000000"/>
                <w:sz w:val="20"/>
                <w:szCs w:val="20"/>
              </w:rPr>
            </w:pPr>
            <w:r>
              <w:rPr>
                <w:rFonts w:cs="Times New Roman"/>
                <w:color w:val="000000"/>
                <w:sz w:val="20"/>
                <w:szCs w:val="20"/>
              </w:rPr>
              <w:t>610,5</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2A8E6">
            <w:pPr>
              <w:pStyle w:val="66"/>
              <w:jc w:val="center"/>
              <w:rPr>
                <w:rFonts w:cs="Times New Roman"/>
                <w:color w:val="000000"/>
                <w:sz w:val="20"/>
                <w:szCs w:val="20"/>
              </w:rPr>
            </w:pPr>
            <w:r>
              <w:rPr>
                <w:rFonts w:cs="Times New Roman"/>
                <w:color w:val="000000"/>
                <w:sz w:val="20"/>
                <w:szCs w:val="20"/>
              </w:rPr>
              <w:t>0,81</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65B7D">
            <w:pPr>
              <w:pStyle w:val="66"/>
              <w:jc w:val="center"/>
              <w:rPr>
                <w:rFonts w:cs="Times New Roman"/>
                <w:color w:val="000000"/>
                <w:sz w:val="20"/>
                <w:szCs w:val="20"/>
              </w:rPr>
            </w:pPr>
            <w:r>
              <w:rPr>
                <w:rFonts w:cs="Times New Roman"/>
                <w:color w:val="000000"/>
                <w:sz w:val="20"/>
                <w:szCs w:val="20"/>
              </w:rPr>
              <w:t>14,0</w:t>
            </w:r>
          </w:p>
        </w:tc>
      </w:tr>
      <w:tr w14:paraId="03C80908">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EE343">
            <w:pPr>
              <w:pStyle w:val="66"/>
              <w:jc w:val="center"/>
              <w:rPr>
                <w:rFonts w:cs="Times New Roman"/>
                <w:color w:val="000000"/>
                <w:sz w:val="20"/>
                <w:szCs w:val="20"/>
              </w:rPr>
            </w:pPr>
            <w:r>
              <w:rPr>
                <w:rFonts w:cs="Times New Roman"/>
                <w:color w:val="000000"/>
                <w:sz w:val="20"/>
                <w:szCs w:val="20"/>
              </w:rPr>
              <w:t>Ciasem</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16811">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22F24">
            <w:pPr>
              <w:pStyle w:val="66"/>
              <w:jc w:val="center"/>
              <w:rPr>
                <w:rFonts w:cs="Times New Roman"/>
                <w:color w:val="000000"/>
                <w:sz w:val="20"/>
                <w:szCs w:val="20"/>
              </w:rPr>
            </w:pPr>
            <w:r>
              <w:rPr>
                <w:rFonts w:cs="Times New Roman"/>
                <w:color w:val="000000"/>
                <w:sz w:val="20"/>
                <w:szCs w:val="20"/>
              </w:rPr>
              <w:t>113,4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73F2F">
            <w:pPr>
              <w:pStyle w:val="66"/>
              <w:jc w:val="center"/>
              <w:rPr>
                <w:rFonts w:cs="Times New Roman"/>
                <w:color w:val="000000"/>
                <w:sz w:val="20"/>
                <w:szCs w:val="20"/>
              </w:rPr>
            </w:pPr>
            <w:r>
              <w:rPr>
                <w:rFonts w:cs="Times New Roman"/>
                <w:color w:val="000000"/>
                <w:sz w:val="20"/>
                <w:szCs w:val="20"/>
              </w:rPr>
              <w:t>104,5</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FD65F">
            <w:pPr>
              <w:pStyle w:val="66"/>
              <w:jc w:val="center"/>
              <w:rPr>
                <w:rFonts w:cs="Times New Roman"/>
                <w:color w:val="000000"/>
                <w:sz w:val="20"/>
                <w:szCs w:val="20"/>
              </w:rPr>
            </w:pPr>
            <w:r>
              <w:rPr>
                <w:rFonts w:cs="Times New Roman"/>
                <w:color w:val="000000"/>
                <w:sz w:val="20"/>
                <w:szCs w:val="20"/>
              </w:rPr>
              <w:t>88,3</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FF4B9">
            <w:pPr>
              <w:pStyle w:val="66"/>
              <w:jc w:val="center"/>
              <w:rPr>
                <w:rFonts w:cs="Times New Roman"/>
                <w:color w:val="000000"/>
                <w:sz w:val="20"/>
                <w:szCs w:val="20"/>
              </w:rPr>
            </w:pPr>
            <w:r>
              <w:rPr>
                <w:rFonts w:cs="Times New Roman"/>
                <w:color w:val="000000"/>
                <w:sz w:val="20"/>
                <w:szCs w:val="20"/>
              </w:rPr>
              <w:t>482,1</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C1A7F">
            <w:pPr>
              <w:pStyle w:val="66"/>
              <w:jc w:val="center"/>
              <w:rPr>
                <w:rFonts w:cs="Times New Roman"/>
                <w:color w:val="000000"/>
                <w:sz w:val="20"/>
                <w:szCs w:val="20"/>
              </w:rPr>
            </w:pPr>
            <w:r>
              <w:rPr>
                <w:rFonts w:cs="Times New Roman"/>
                <w:color w:val="000000"/>
                <w:sz w:val="20"/>
                <w:szCs w:val="20"/>
              </w:rPr>
              <w:t>0,53</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16A4D">
            <w:pPr>
              <w:pStyle w:val="66"/>
              <w:jc w:val="center"/>
              <w:rPr>
                <w:rFonts w:cs="Times New Roman"/>
                <w:color w:val="000000"/>
                <w:sz w:val="20"/>
                <w:szCs w:val="20"/>
              </w:rPr>
            </w:pPr>
            <w:r>
              <w:rPr>
                <w:rFonts w:cs="Times New Roman"/>
                <w:color w:val="000000"/>
                <w:sz w:val="20"/>
                <w:szCs w:val="20"/>
              </w:rPr>
              <w:t>20,1</w:t>
            </w:r>
          </w:p>
        </w:tc>
      </w:tr>
      <w:tr w14:paraId="344FA8AF">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F3187">
            <w:pPr>
              <w:pStyle w:val="66"/>
              <w:jc w:val="center"/>
              <w:rPr>
                <w:rFonts w:cs="Times New Roman"/>
                <w:color w:val="000000"/>
                <w:sz w:val="20"/>
                <w:szCs w:val="20"/>
              </w:rPr>
            </w:pPr>
            <w:r>
              <w:rPr>
                <w:rFonts w:cs="Times New Roman"/>
                <w:color w:val="000000"/>
                <w:sz w:val="20"/>
                <w:szCs w:val="20"/>
              </w:rPr>
              <w:t>Pangandaran</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BD5AB">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0E1DB">
            <w:pPr>
              <w:pStyle w:val="66"/>
              <w:jc w:val="center"/>
              <w:rPr>
                <w:rFonts w:cs="Times New Roman"/>
                <w:color w:val="000000"/>
                <w:sz w:val="20"/>
                <w:szCs w:val="20"/>
              </w:rPr>
            </w:pPr>
            <w:r>
              <w:rPr>
                <w:rFonts w:cs="Times New Roman"/>
                <w:color w:val="000000"/>
                <w:sz w:val="20"/>
                <w:szCs w:val="20"/>
              </w:rPr>
              <w:t>138,3</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55523">
            <w:pPr>
              <w:pStyle w:val="66"/>
              <w:jc w:val="center"/>
              <w:rPr>
                <w:rFonts w:cs="Times New Roman"/>
                <w:color w:val="000000"/>
                <w:sz w:val="20"/>
                <w:szCs w:val="20"/>
              </w:rPr>
            </w:pPr>
            <w:r>
              <w:rPr>
                <w:rFonts w:cs="Times New Roman"/>
                <w:color w:val="000000"/>
                <w:sz w:val="20"/>
                <w:szCs w:val="20"/>
              </w:rPr>
              <w:t>114,0</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023F7">
            <w:pPr>
              <w:pStyle w:val="66"/>
              <w:jc w:val="center"/>
              <w:rPr>
                <w:rFonts w:cs="Times New Roman"/>
                <w:color w:val="000000"/>
                <w:sz w:val="20"/>
                <w:szCs w:val="20"/>
              </w:rPr>
            </w:pPr>
            <w:r>
              <w:rPr>
                <w:rFonts w:cs="Times New Roman"/>
                <w:color w:val="000000"/>
                <w:sz w:val="20"/>
                <w:szCs w:val="20"/>
              </w:rPr>
              <w:t>109,7</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08522">
            <w:pPr>
              <w:pStyle w:val="66"/>
              <w:jc w:val="center"/>
              <w:rPr>
                <w:rFonts w:cs="Times New Roman"/>
                <w:color w:val="000000"/>
                <w:sz w:val="20"/>
                <w:szCs w:val="20"/>
              </w:rPr>
            </w:pPr>
            <w:r>
              <w:rPr>
                <w:rFonts w:cs="Times New Roman"/>
                <w:color w:val="000000"/>
                <w:sz w:val="20"/>
                <w:szCs w:val="20"/>
              </w:rPr>
              <w:t>780,6</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0515A">
            <w:pPr>
              <w:pStyle w:val="66"/>
              <w:jc w:val="center"/>
              <w:rPr>
                <w:rFonts w:cs="Times New Roman"/>
                <w:color w:val="000000"/>
                <w:sz w:val="20"/>
                <w:szCs w:val="20"/>
              </w:rPr>
            </w:pPr>
            <w:r>
              <w:rPr>
                <w:rFonts w:cs="Times New Roman"/>
                <w:color w:val="000000"/>
                <w:sz w:val="20"/>
                <w:szCs w:val="20"/>
              </w:rPr>
              <w:t>1,47</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DC809">
            <w:pPr>
              <w:pStyle w:val="66"/>
              <w:jc w:val="center"/>
              <w:rPr>
                <w:rFonts w:cs="Times New Roman"/>
                <w:color w:val="000000"/>
                <w:sz w:val="20"/>
                <w:szCs w:val="20"/>
              </w:rPr>
            </w:pPr>
            <w:r>
              <w:rPr>
                <w:rFonts w:cs="Times New Roman"/>
                <w:color w:val="000000"/>
                <w:sz w:val="20"/>
                <w:szCs w:val="20"/>
              </w:rPr>
              <w:t>7,1</w:t>
            </w:r>
          </w:p>
        </w:tc>
      </w:tr>
      <w:tr w14:paraId="277C9F39">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709E1">
            <w:pPr>
              <w:pStyle w:val="66"/>
              <w:jc w:val="center"/>
              <w:rPr>
                <w:rFonts w:cs="Times New Roman"/>
                <w:color w:val="000000"/>
                <w:sz w:val="20"/>
                <w:szCs w:val="20"/>
              </w:rPr>
            </w:pPr>
            <w:r>
              <w:rPr>
                <w:rFonts w:cs="Times New Roman"/>
                <w:color w:val="000000"/>
                <w:sz w:val="20"/>
                <w:szCs w:val="20"/>
              </w:rPr>
              <w:t>Cibeureum</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2F871">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2030E">
            <w:pPr>
              <w:pStyle w:val="66"/>
              <w:jc w:val="center"/>
              <w:rPr>
                <w:rFonts w:cs="Times New Roman"/>
                <w:color w:val="000000"/>
                <w:sz w:val="20"/>
                <w:szCs w:val="20"/>
              </w:rPr>
            </w:pPr>
            <w:r>
              <w:rPr>
                <w:rFonts w:cs="Times New Roman"/>
                <w:color w:val="000000"/>
                <w:sz w:val="20"/>
                <w:szCs w:val="20"/>
              </w:rPr>
              <w:t>200,9</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C219A">
            <w:pPr>
              <w:pStyle w:val="66"/>
              <w:jc w:val="center"/>
              <w:rPr>
                <w:rFonts w:cs="Times New Roman"/>
                <w:color w:val="000000"/>
                <w:sz w:val="20"/>
                <w:szCs w:val="20"/>
              </w:rPr>
            </w:pPr>
            <w:r>
              <w:rPr>
                <w:rFonts w:cs="Times New Roman"/>
                <w:color w:val="000000"/>
                <w:sz w:val="20"/>
                <w:szCs w:val="20"/>
              </w:rPr>
              <w:t>184,6</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1F1FB">
            <w:pPr>
              <w:pStyle w:val="66"/>
              <w:jc w:val="center"/>
              <w:rPr>
                <w:rFonts w:cs="Times New Roman"/>
                <w:color w:val="000000"/>
                <w:sz w:val="20"/>
                <w:szCs w:val="20"/>
              </w:rPr>
            </w:pPr>
            <w:r>
              <w:rPr>
                <w:rFonts w:cs="Times New Roman"/>
                <w:color w:val="000000"/>
                <w:sz w:val="20"/>
                <w:szCs w:val="20"/>
              </w:rPr>
              <w:t>136,6</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CE647">
            <w:pPr>
              <w:pStyle w:val="66"/>
              <w:jc w:val="center"/>
              <w:rPr>
                <w:rFonts w:cs="Times New Roman"/>
                <w:color w:val="000000"/>
                <w:sz w:val="20"/>
                <w:szCs w:val="20"/>
              </w:rPr>
            </w:pPr>
            <w:r>
              <w:rPr>
                <w:rFonts w:cs="Times New Roman"/>
                <w:color w:val="000000"/>
                <w:sz w:val="20"/>
                <w:szCs w:val="20"/>
              </w:rPr>
              <w:t>707,3</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AFF32">
            <w:pPr>
              <w:pStyle w:val="66"/>
              <w:jc w:val="center"/>
              <w:rPr>
                <w:rFonts w:cs="Times New Roman"/>
                <w:color w:val="000000"/>
                <w:sz w:val="20"/>
                <w:szCs w:val="20"/>
              </w:rPr>
            </w:pPr>
            <w:r>
              <w:rPr>
                <w:rFonts w:cs="Times New Roman"/>
                <w:color w:val="000000"/>
                <w:sz w:val="20"/>
                <w:szCs w:val="20"/>
              </w:rPr>
              <w:t>0,56</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CECFE">
            <w:pPr>
              <w:pStyle w:val="66"/>
              <w:jc w:val="center"/>
              <w:rPr>
                <w:rFonts w:cs="Times New Roman"/>
                <w:color w:val="000000"/>
                <w:sz w:val="20"/>
                <w:szCs w:val="20"/>
              </w:rPr>
            </w:pPr>
            <w:r>
              <w:rPr>
                <w:rFonts w:cs="Times New Roman"/>
                <w:color w:val="000000"/>
                <w:sz w:val="20"/>
                <w:szCs w:val="20"/>
              </w:rPr>
              <w:t>5,7</w:t>
            </w:r>
          </w:p>
        </w:tc>
      </w:tr>
      <w:tr w14:paraId="3EB5CD20">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5041A">
            <w:pPr>
              <w:pStyle w:val="66"/>
              <w:jc w:val="center"/>
              <w:rPr>
                <w:rFonts w:cs="Times New Roman"/>
                <w:color w:val="000000"/>
                <w:sz w:val="20"/>
                <w:szCs w:val="20"/>
              </w:rPr>
            </w:pPr>
            <w:r>
              <w:rPr>
                <w:rFonts w:cs="Times New Roman"/>
                <w:color w:val="000000"/>
                <w:sz w:val="20"/>
                <w:szCs w:val="20"/>
              </w:rPr>
              <w:t>Ciberes</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B54B4">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D4F97">
            <w:pPr>
              <w:pStyle w:val="66"/>
              <w:jc w:val="center"/>
              <w:rPr>
                <w:rFonts w:cs="Times New Roman"/>
                <w:color w:val="000000"/>
                <w:sz w:val="20"/>
                <w:szCs w:val="20"/>
              </w:rPr>
            </w:pPr>
            <w:r>
              <w:rPr>
                <w:rFonts w:cs="Times New Roman"/>
                <w:color w:val="000000"/>
                <w:sz w:val="20"/>
                <w:szCs w:val="20"/>
              </w:rPr>
              <w:t>115,5</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3114C">
            <w:pPr>
              <w:pStyle w:val="66"/>
              <w:jc w:val="center"/>
              <w:rPr>
                <w:rFonts w:cs="Times New Roman"/>
                <w:color w:val="000000"/>
                <w:sz w:val="20"/>
                <w:szCs w:val="20"/>
              </w:rPr>
            </w:pPr>
            <w:r>
              <w:rPr>
                <w:rFonts w:cs="Times New Roman"/>
                <w:color w:val="000000"/>
                <w:sz w:val="20"/>
                <w:szCs w:val="20"/>
              </w:rPr>
              <w:t>108,5</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B685A">
            <w:pPr>
              <w:pStyle w:val="66"/>
              <w:jc w:val="center"/>
              <w:rPr>
                <w:rFonts w:cs="Times New Roman"/>
                <w:color w:val="000000"/>
                <w:sz w:val="20"/>
                <w:szCs w:val="20"/>
              </w:rPr>
            </w:pPr>
            <w:r>
              <w:rPr>
                <w:rFonts w:cs="Times New Roman"/>
                <w:color w:val="000000"/>
                <w:sz w:val="20"/>
                <w:szCs w:val="20"/>
              </w:rPr>
              <w:t>88,5</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F1311">
            <w:pPr>
              <w:pStyle w:val="66"/>
              <w:jc w:val="center"/>
              <w:rPr>
                <w:rFonts w:cs="Times New Roman"/>
                <w:color w:val="000000"/>
                <w:sz w:val="20"/>
                <w:szCs w:val="20"/>
              </w:rPr>
            </w:pPr>
            <w:r>
              <w:rPr>
                <w:rFonts w:cs="Times New Roman"/>
                <w:color w:val="000000"/>
                <w:sz w:val="20"/>
                <w:szCs w:val="20"/>
              </w:rPr>
              <w:t>470,0</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B733A">
            <w:pPr>
              <w:pStyle w:val="66"/>
              <w:jc w:val="center"/>
              <w:rPr>
                <w:rFonts w:cs="Times New Roman"/>
                <w:color w:val="000000"/>
                <w:sz w:val="20"/>
                <w:szCs w:val="20"/>
              </w:rPr>
            </w:pPr>
            <w:r>
              <w:rPr>
                <w:rFonts w:cs="Times New Roman"/>
                <w:color w:val="000000"/>
                <w:sz w:val="20"/>
                <w:szCs w:val="20"/>
              </w:rPr>
              <w:t>0,52</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0623F">
            <w:pPr>
              <w:pStyle w:val="66"/>
              <w:jc w:val="center"/>
              <w:rPr>
                <w:rFonts w:cs="Times New Roman"/>
                <w:color w:val="000000"/>
                <w:sz w:val="20"/>
                <w:szCs w:val="20"/>
              </w:rPr>
            </w:pPr>
            <w:r>
              <w:rPr>
                <w:rFonts w:cs="Times New Roman"/>
                <w:color w:val="000000"/>
                <w:sz w:val="20"/>
                <w:szCs w:val="20"/>
              </w:rPr>
              <w:t>19,0</w:t>
            </w:r>
          </w:p>
        </w:tc>
      </w:tr>
      <w:tr w14:paraId="3F2D1CB9">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B0DFA">
            <w:pPr>
              <w:pStyle w:val="66"/>
              <w:jc w:val="center"/>
              <w:rPr>
                <w:rFonts w:cs="Times New Roman"/>
                <w:color w:val="000000"/>
                <w:sz w:val="20"/>
                <w:szCs w:val="20"/>
              </w:rPr>
            </w:pPr>
            <w:r>
              <w:rPr>
                <w:rFonts w:cs="Times New Roman"/>
                <w:color w:val="000000"/>
                <w:sz w:val="20"/>
                <w:szCs w:val="20"/>
              </w:rPr>
              <w:t>Ciawi</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4295A">
            <w:pPr>
              <w:pStyle w:val="66"/>
              <w:jc w:val="center"/>
              <w:rPr>
                <w:rFonts w:cs="Times New Roman"/>
                <w:color w:val="000000"/>
                <w:sz w:val="20"/>
                <w:szCs w:val="20"/>
              </w:rPr>
            </w:pPr>
            <w:r>
              <w:rPr>
                <w:rFonts w:cs="Times New Roman"/>
                <w:color w:val="000000"/>
                <w:sz w:val="20"/>
                <w:szCs w:val="20"/>
              </w:rPr>
              <w:t>1.287</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3535C">
            <w:pPr>
              <w:pStyle w:val="66"/>
              <w:jc w:val="center"/>
              <w:rPr>
                <w:rFonts w:cs="Times New Roman"/>
                <w:color w:val="000000"/>
                <w:sz w:val="20"/>
                <w:szCs w:val="20"/>
              </w:rPr>
            </w:pPr>
            <w:r>
              <w:rPr>
                <w:rFonts w:cs="Times New Roman"/>
                <w:color w:val="000000"/>
                <w:sz w:val="20"/>
                <w:szCs w:val="20"/>
              </w:rPr>
              <w:t>168,3</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1DF64">
            <w:pPr>
              <w:pStyle w:val="66"/>
              <w:jc w:val="center"/>
              <w:rPr>
                <w:rFonts w:cs="Times New Roman"/>
                <w:color w:val="000000"/>
                <w:sz w:val="20"/>
                <w:szCs w:val="20"/>
              </w:rPr>
            </w:pPr>
            <w:r>
              <w:rPr>
                <w:rFonts w:cs="Times New Roman"/>
                <w:color w:val="000000"/>
                <w:sz w:val="20"/>
                <w:szCs w:val="20"/>
              </w:rPr>
              <w:t>157,0</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3D98B">
            <w:pPr>
              <w:pStyle w:val="66"/>
              <w:jc w:val="center"/>
              <w:rPr>
                <w:rFonts w:cs="Times New Roman"/>
                <w:color w:val="000000"/>
                <w:sz w:val="20"/>
                <w:szCs w:val="20"/>
              </w:rPr>
            </w:pPr>
            <w:r>
              <w:rPr>
                <w:rFonts w:cs="Times New Roman"/>
                <w:color w:val="000000"/>
                <w:sz w:val="20"/>
                <w:szCs w:val="20"/>
              </w:rPr>
              <w:t>110,9</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D77A6">
            <w:pPr>
              <w:pStyle w:val="66"/>
              <w:jc w:val="center"/>
              <w:rPr>
                <w:rFonts w:cs="Times New Roman"/>
                <w:color w:val="000000"/>
                <w:sz w:val="20"/>
                <w:szCs w:val="20"/>
              </w:rPr>
            </w:pPr>
            <w:r>
              <w:rPr>
                <w:rFonts w:cs="Times New Roman"/>
                <w:color w:val="000000"/>
                <w:sz w:val="20"/>
                <w:szCs w:val="20"/>
              </w:rPr>
              <w:t>602,7</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3E016">
            <w:pPr>
              <w:pStyle w:val="66"/>
              <w:jc w:val="center"/>
              <w:rPr>
                <w:rFonts w:cs="Times New Roman"/>
                <w:color w:val="000000"/>
                <w:sz w:val="20"/>
                <w:szCs w:val="20"/>
              </w:rPr>
            </w:pPr>
            <w:r>
              <w:rPr>
                <w:rFonts w:cs="Times New Roman"/>
                <w:color w:val="000000"/>
                <w:sz w:val="20"/>
                <w:szCs w:val="20"/>
              </w:rPr>
              <w:t>0,57</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8A274">
            <w:pPr>
              <w:pStyle w:val="66"/>
              <w:jc w:val="center"/>
              <w:rPr>
                <w:rFonts w:cs="Times New Roman"/>
                <w:color w:val="000000"/>
                <w:sz w:val="20"/>
                <w:szCs w:val="20"/>
              </w:rPr>
            </w:pPr>
            <w:r>
              <w:rPr>
                <w:rFonts w:cs="Times New Roman"/>
                <w:color w:val="000000"/>
                <w:sz w:val="20"/>
                <w:szCs w:val="20"/>
              </w:rPr>
              <w:t>6,3</w:t>
            </w:r>
          </w:p>
        </w:tc>
      </w:tr>
      <w:tr w14:paraId="54273106">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3C44B">
            <w:pPr>
              <w:pStyle w:val="66"/>
              <w:jc w:val="center"/>
              <w:rPr>
                <w:rFonts w:cs="Times New Roman"/>
                <w:color w:val="000000"/>
                <w:sz w:val="20"/>
                <w:szCs w:val="20"/>
              </w:rPr>
            </w:pPr>
            <w:r>
              <w:rPr>
                <w:rFonts w:cs="Times New Roman"/>
                <w:bCs/>
                <w:color w:val="000000"/>
                <w:sz w:val="20"/>
                <w:szCs w:val="20"/>
              </w:rPr>
              <w:t>Kupang</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E37FA">
            <w:pPr>
              <w:pStyle w:val="66"/>
              <w:jc w:val="center"/>
              <w:rPr>
                <w:rFonts w:cs="Times New Roman"/>
                <w:color w:val="000000"/>
                <w:sz w:val="20"/>
                <w:szCs w:val="20"/>
              </w:rPr>
            </w:pPr>
            <w:r>
              <w:rPr>
                <w:rFonts w:cs="Times New Roman"/>
                <w:color w:val="000000"/>
                <w:sz w:val="20"/>
                <w:szCs w:val="20"/>
              </w:rPr>
              <w:t>1.008</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65DA4">
            <w:pPr>
              <w:pStyle w:val="66"/>
              <w:jc w:val="center"/>
              <w:rPr>
                <w:rFonts w:cs="Times New Roman"/>
                <w:color w:val="000000"/>
                <w:sz w:val="20"/>
                <w:szCs w:val="20"/>
              </w:rPr>
            </w:pPr>
            <w:r>
              <w:rPr>
                <w:rFonts w:cs="Times New Roman"/>
                <w:color w:val="000000"/>
                <w:sz w:val="20"/>
                <w:szCs w:val="20"/>
              </w:rPr>
              <w:t>73,2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34506">
            <w:pPr>
              <w:pStyle w:val="66"/>
              <w:jc w:val="center"/>
              <w:rPr>
                <w:rFonts w:cs="Times New Roman"/>
                <w:color w:val="000000"/>
                <w:sz w:val="20"/>
                <w:szCs w:val="20"/>
              </w:rPr>
            </w:pPr>
            <w:r>
              <w:rPr>
                <w:rFonts w:cs="Times New Roman"/>
                <w:color w:val="000000"/>
                <w:sz w:val="20"/>
                <w:szCs w:val="20"/>
              </w:rPr>
              <w:t>26,4</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BFF54">
            <w:pPr>
              <w:pStyle w:val="66"/>
              <w:jc w:val="center"/>
              <w:rPr>
                <w:rFonts w:cs="Times New Roman"/>
                <w:color w:val="000000"/>
                <w:sz w:val="20"/>
                <w:szCs w:val="20"/>
              </w:rPr>
            </w:pPr>
            <w:r>
              <w:rPr>
                <w:rFonts w:cs="Times New Roman"/>
                <w:color w:val="000000"/>
                <w:sz w:val="20"/>
                <w:szCs w:val="20"/>
              </w:rPr>
              <w:t>94,1</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EEEA3">
            <w:pPr>
              <w:pStyle w:val="66"/>
              <w:jc w:val="center"/>
              <w:rPr>
                <w:rFonts w:cs="Times New Roman"/>
                <w:color w:val="000000"/>
                <w:sz w:val="20"/>
                <w:szCs w:val="20"/>
              </w:rPr>
            </w:pPr>
            <w:r>
              <w:rPr>
                <w:rFonts w:cs="Times New Roman"/>
                <w:color w:val="000000"/>
                <w:sz w:val="20"/>
                <w:szCs w:val="20"/>
              </w:rPr>
              <w:t>742,8</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5DB1B">
            <w:pPr>
              <w:pStyle w:val="66"/>
              <w:jc w:val="center"/>
              <w:rPr>
                <w:rFonts w:cs="Times New Roman"/>
                <w:color w:val="000000"/>
                <w:sz w:val="20"/>
                <w:szCs w:val="20"/>
              </w:rPr>
            </w:pPr>
            <w:r>
              <w:rPr>
                <w:rFonts w:cs="Times New Roman"/>
                <w:color w:val="000000"/>
                <w:sz w:val="20"/>
                <w:szCs w:val="20"/>
              </w:rPr>
              <w:t>1,74</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33FE7">
            <w:pPr>
              <w:pStyle w:val="66"/>
              <w:jc w:val="center"/>
              <w:rPr>
                <w:rFonts w:cs="Times New Roman"/>
                <w:color w:val="000000"/>
                <w:sz w:val="20"/>
                <w:szCs w:val="20"/>
              </w:rPr>
            </w:pPr>
            <w:r>
              <w:rPr>
                <w:rFonts w:cs="Times New Roman"/>
                <w:bCs/>
                <w:color w:val="000000"/>
                <w:sz w:val="20"/>
                <w:szCs w:val="20"/>
              </w:rPr>
              <w:t>47,0</w:t>
            </w:r>
          </w:p>
        </w:tc>
      </w:tr>
      <w:tr w14:paraId="490E912D">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089AE">
            <w:pPr>
              <w:pStyle w:val="66"/>
              <w:jc w:val="center"/>
              <w:rPr>
                <w:rFonts w:cs="Times New Roman"/>
                <w:color w:val="000000"/>
                <w:sz w:val="20"/>
                <w:szCs w:val="20"/>
              </w:rPr>
            </w:pPr>
            <w:r>
              <w:rPr>
                <w:rFonts w:cs="Times New Roman"/>
                <w:bCs/>
                <w:color w:val="000000"/>
                <w:sz w:val="20"/>
                <w:szCs w:val="20"/>
              </w:rPr>
              <w:t>Padang</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EE049">
            <w:pPr>
              <w:pStyle w:val="66"/>
              <w:jc w:val="center"/>
              <w:rPr>
                <w:rFonts w:cs="Times New Roman"/>
                <w:color w:val="000000"/>
                <w:sz w:val="20"/>
                <w:szCs w:val="20"/>
              </w:rPr>
            </w:pPr>
            <w:r>
              <w:rPr>
                <w:rFonts w:cs="Times New Roman"/>
                <w:color w:val="000000"/>
                <w:sz w:val="20"/>
                <w:szCs w:val="20"/>
              </w:rPr>
              <w:t>1.041</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EFE9B">
            <w:pPr>
              <w:pStyle w:val="66"/>
              <w:jc w:val="center"/>
              <w:rPr>
                <w:rFonts w:cs="Times New Roman"/>
                <w:color w:val="000000"/>
                <w:sz w:val="20"/>
                <w:szCs w:val="20"/>
              </w:rPr>
            </w:pPr>
            <w:r>
              <w:rPr>
                <w:rFonts w:cs="Times New Roman"/>
                <w:color w:val="000000"/>
                <w:sz w:val="20"/>
                <w:szCs w:val="20"/>
              </w:rPr>
              <w:t>224,4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A289F">
            <w:pPr>
              <w:pStyle w:val="66"/>
              <w:jc w:val="center"/>
              <w:rPr>
                <w:rFonts w:cs="Times New Roman"/>
                <w:color w:val="000000"/>
                <w:sz w:val="20"/>
                <w:szCs w:val="20"/>
              </w:rPr>
            </w:pPr>
            <w:r>
              <w:rPr>
                <w:rFonts w:cs="Times New Roman"/>
                <w:color w:val="000000"/>
                <w:sz w:val="20"/>
                <w:szCs w:val="20"/>
              </w:rPr>
              <w:t>209,7</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52AF6">
            <w:pPr>
              <w:pStyle w:val="66"/>
              <w:jc w:val="center"/>
              <w:rPr>
                <w:rFonts w:cs="Times New Roman"/>
                <w:color w:val="000000"/>
                <w:sz w:val="20"/>
                <w:szCs w:val="20"/>
              </w:rPr>
            </w:pPr>
            <w:r>
              <w:rPr>
                <w:rFonts w:cs="Times New Roman"/>
                <w:color w:val="000000"/>
                <w:sz w:val="20"/>
                <w:szCs w:val="20"/>
              </w:rPr>
              <w:t>134,6</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DF8FB">
            <w:pPr>
              <w:pStyle w:val="66"/>
              <w:jc w:val="center"/>
              <w:rPr>
                <w:rFonts w:cs="Times New Roman"/>
                <w:color w:val="000000"/>
                <w:sz w:val="20"/>
                <w:szCs w:val="20"/>
              </w:rPr>
            </w:pPr>
            <w:r>
              <w:rPr>
                <w:rFonts w:cs="Times New Roman"/>
                <w:color w:val="000000"/>
                <w:sz w:val="20"/>
                <w:szCs w:val="20"/>
              </w:rPr>
              <w:t>942,0</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59850">
            <w:pPr>
              <w:pStyle w:val="66"/>
              <w:jc w:val="center"/>
              <w:rPr>
                <w:rFonts w:cs="Times New Roman"/>
                <w:color w:val="000000"/>
                <w:sz w:val="20"/>
                <w:szCs w:val="20"/>
              </w:rPr>
            </w:pPr>
            <w:r>
              <w:rPr>
                <w:rFonts w:cs="Times New Roman"/>
                <w:color w:val="000000"/>
                <w:sz w:val="20"/>
                <w:szCs w:val="20"/>
              </w:rPr>
              <w:t>0,89</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1AD1">
            <w:pPr>
              <w:pStyle w:val="66"/>
              <w:jc w:val="center"/>
              <w:rPr>
                <w:rFonts w:cs="Times New Roman"/>
                <w:color w:val="000000"/>
                <w:sz w:val="20"/>
                <w:szCs w:val="20"/>
              </w:rPr>
            </w:pPr>
            <w:r>
              <w:rPr>
                <w:rFonts w:cs="Times New Roman"/>
                <w:bCs/>
                <w:color w:val="000000"/>
                <w:sz w:val="20"/>
                <w:szCs w:val="20"/>
              </w:rPr>
              <w:t>1,2</w:t>
            </w:r>
          </w:p>
        </w:tc>
      </w:tr>
      <w:tr w14:paraId="3E1B8D83">
        <w:tblPrEx>
          <w:tblCellMar>
            <w:top w:w="0" w:type="dxa"/>
            <w:left w:w="108" w:type="dxa"/>
            <w:bottom w:w="0" w:type="dxa"/>
            <w:right w:w="108" w:type="dxa"/>
          </w:tblCellMar>
        </w:tblPrEx>
        <w:tc>
          <w:tcPr>
            <w:tcW w:w="8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44F9A">
            <w:pPr>
              <w:pStyle w:val="66"/>
              <w:jc w:val="center"/>
              <w:rPr>
                <w:rFonts w:cs="Times New Roman"/>
                <w:color w:val="000000"/>
                <w:sz w:val="20"/>
                <w:szCs w:val="20"/>
              </w:rPr>
            </w:pPr>
            <w:r>
              <w:rPr>
                <w:rFonts w:cs="Times New Roman"/>
                <w:bCs/>
                <w:color w:val="000000"/>
                <w:sz w:val="20"/>
                <w:szCs w:val="20"/>
              </w:rPr>
              <w:t>Ambon</w:t>
            </w:r>
          </w:p>
        </w:tc>
        <w:tc>
          <w:tcPr>
            <w:tcW w:w="4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EA223">
            <w:pPr>
              <w:pStyle w:val="66"/>
              <w:jc w:val="center"/>
              <w:rPr>
                <w:rFonts w:cs="Times New Roman"/>
                <w:color w:val="000000"/>
                <w:sz w:val="20"/>
                <w:szCs w:val="20"/>
              </w:rPr>
            </w:pPr>
            <w:r>
              <w:rPr>
                <w:rFonts w:cs="Times New Roman"/>
                <w:color w:val="000000"/>
                <w:sz w:val="20"/>
                <w:szCs w:val="20"/>
              </w:rPr>
              <w:t>1.041</w:t>
            </w:r>
          </w:p>
        </w:tc>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ECE5D">
            <w:pPr>
              <w:pStyle w:val="66"/>
              <w:jc w:val="center"/>
              <w:rPr>
                <w:rFonts w:cs="Times New Roman"/>
                <w:color w:val="000000"/>
                <w:sz w:val="20"/>
                <w:szCs w:val="20"/>
              </w:rPr>
            </w:pPr>
            <w:r>
              <w:rPr>
                <w:rFonts w:cs="Times New Roman"/>
                <w:color w:val="000000"/>
                <w:sz w:val="20"/>
                <w:szCs w:val="20"/>
              </w:rPr>
              <w:t>91,4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FA1B9">
            <w:pPr>
              <w:pStyle w:val="66"/>
              <w:jc w:val="center"/>
              <w:rPr>
                <w:rFonts w:cs="Times New Roman"/>
                <w:color w:val="000000"/>
                <w:sz w:val="20"/>
                <w:szCs w:val="20"/>
              </w:rPr>
            </w:pPr>
            <w:r>
              <w:rPr>
                <w:rFonts w:cs="Times New Roman"/>
                <w:color w:val="000000"/>
                <w:sz w:val="20"/>
                <w:szCs w:val="20"/>
              </w:rPr>
              <w:t>71,5</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C0B2D">
            <w:pPr>
              <w:pStyle w:val="66"/>
              <w:jc w:val="center"/>
              <w:rPr>
                <w:rFonts w:cs="Times New Roman"/>
                <w:color w:val="000000"/>
                <w:sz w:val="20"/>
                <w:szCs w:val="20"/>
              </w:rPr>
            </w:pPr>
            <w:r>
              <w:rPr>
                <w:rFonts w:cs="Times New Roman"/>
                <w:color w:val="000000"/>
                <w:sz w:val="20"/>
                <w:szCs w:val="20"/>
              </w:rPr>
              <w:t>80,2</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59671">
            <w:pPr>
              <w:pStyle w:val="66"/>
              <w:jc w:val="center"/>
              <w:rPr>
                <w:rFonts w:cs="Times New Roman"/>
                <w:color w:val="000000"/>
                <w:sz w:val="20"/>
                <w:szCs w:val="20"/>
              </w:rPr>
            </w:pPr>
            <w:r>
              <w:rPr>
                <w:rFonts w:cs="Times New Roman"/>
                <w:color w:val="000000"/>
                <w:sz w:val="20"/>
                <w:szCs w:val="20"/>
              </w:rPr>
              <w:t>671,5</w:t>
            </w:r>
          </w:p>
        </w:tc>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91F67">
            <w:pPr>
              <w:pStyle w:val="66"/>
              <w:jc w:val="center"/>
              <w:rPr>
                <w:rFonts w:cs="Times New Roman"/>
                <w:color w:val="000000"/>
                <w:sz w:val="20"/>
                <w:szCs w:val="20"/>
              </w:rPr>
            </w:pPr>
            <w:r>
              <w:rPr>
                <w:rFonts w:cs="Times New Roman"/>
                <w:color w:val="000000"/>
                <w:sz w:val="20"/>
                <w:szCs w:val="20"/>
              </w:rPr>
              <w:t>2,46</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68EA7">
            <w:pPr>
              <w:pStyle w:val="66"/>
              <w:jc w:val="center"/>
              <w:rPr>
                <w:rFonts w:cs="Times New Roman"/>
                <w:color w:val="000000"/>
                <w:sz w:val="20"/>
                <w:szCs w:val="20"/>
              </w:rPr>
            </w:pPr>
            <w:r>
              <w:rPr>
                <w:rFonts w:cs="Times New Roman"/>
                <w:color w:val="000000"/>
                <w:sz w:val="20"/>
                <w:szCs w:val="20"/>
              </w:rPr>
              <w:t>11,3</w:t>
            </w:r>
          </w:p>
        </w:tc>
      </w:tr>
    </w:tbl>
    <w:p w14:paraId="4210A332">
      <w:pPr>
        <w:pStyle w:val="66"/>
        <w:rPr>
          <w:rFonts w:cs="Times New Roman"/>
          <w:iCs/>
          <w:lang w:val="en-US"/>
        </w:rPr>
      </w:pPr>
      <w:r>
        <w:rPr>
          <w:rFonts w:cs="Times New Roman"/>
          <w:iCs/>
          <w:lang w:val="en-US"/>
        </w:rPr>
        <w:t xml:space="preserve">Keterangan: </w:t>
      </w:r>
      <w:r>
        <w:rPr>
          <w:rFonts w:cs="Times New Roman"/>
          <w:iCs/>
        </w:rPr>
        <w:t xml:space="preserve">Dasarian kering didefinisikan sebagai dasarian dengan curah hujan </w:t>
      </w:r>
      <m:oMath>
        <m:r>
          <m:rPr>
            <m:nor/>
            <m:sty m:val="p"/>
          </m:rPr>
          <w:rPr>
            <w:rFonts w:cs="Times New Roman"/>
            <w:iCs/>
          </w:rPr>
          <m:t>&lt;20</m:t>
        </m:r>
      </m:oMath>
      <w:r>
        <w:rPr>
          <w:rFonts w:cs="Times New Roman"/>
          <w:iCs/>
        </w:rPr>
        <w:t xml:space="preserve"> mm</w:t>
      </w:r>
      <w:r>
        <w:rPr>
          <w:rFonts w:cs="Times New Roman"/>
          <w:iCs/>
          <w:lang w:val="en-US"/>
        </w:rPr>
        <w:t xml:space="preserve"> (BMKG, 2021).</w:t>
      </w:r>
    </w:p>
    <w:p w14:paraId="13518F61">
      <w:pPr>
        <w:pStyle w:val="66"/>
        <w:ind w:firstLine="720"/>
        <w:rPr>
          <w:rFonts w:cs="Times New Roman"/>
          <w:i/>
          <w:iCs/>
          <w:lang w:val="en-US"/>
        </w:rPr>
      </w:pPr>
      <w:r>
        <w:rPr>
          <w:rFonts w:cs="Times New Roman"/>
        </w:rPr>
        <w:t xml:space="preserve">Secara visual, karakteristik </w:t>
      </w:r>
      <w:r>
        <w:rPr>
          <w:rFonts w:cs="Times New Roman"/>
          <w:lang w:val="en-US"/>
        </w:rPr>
        <w:t xml:space="preserve">representatif </w:t>
      </w:r>
      <w:r>
        <w:rPr>
          <w:rFonts w:cs="Times New Roman"/>
        </w:rPr>
        <w:t>wilayah sumber</w:t>
      </w:r>
      <w:r>
        <w:rPr>
          <w:rFonts w:cs="Times New Roman"/>
          <w:lang w:val="en-US"/>
        </w:rPr>
        <w:t>, yakni Bogor</w:t>
      </w:r>
      <w:r>
        <w:rPr>
          <w:rFonts w:cs="Times New Roman"/>
        </w:rPr>
        <w:t xml:space="preserve"> ditampilkan pada Gambar 4.</w:t>
      </w:r>
      <w:r>
        <w:rPr>
          <w:rFonts w:cs="Times New Roman"/>
          <w:lang w:val="en-US"/>
        </w:rPr>
        <w:t xml:space="preserve"> 10. Wilayah lain memiliki pola curah hujan yang sama sebagaimana iklim monsunal</w:t>
      </w:r>
      <w:r>
        <w:rPr>
          <w:rFonts w:cs="Times New Roman"/>
        </w:rPr>
        <w:t xml:space="preserve"> dengan puncak hujan sekitar November–Maret dan minimum sekitar Juli–September, tetapi intensitasnya berbeda</w:t>
      </w:r>
      <w:r>
        <w:rPr>
          <w:rFonts w:cs="Times New Roman"/>
          <w:lang w:val="en-US"/>
        </w:rPr>
        <w:t>. Boxplot pada wilayah sumber lain disediakan pada Lampiran 4.</w:t>
      </w:r>
    </w:p>
    <w:p w14:paraId="3AF64A64">
      <w:pPr>
        <w:rPr>
          <w:b/>
          <w:lang w:val="en-US"/>
        </w:rPr>
      </w:pPr>
      <w:r>
        <w:drawing>
          <wp:inline distT="0" distB="0" distL="114300" distR="114300">
            <wp:extent cx="4956175" cy="2453005"/>
            <wp:effectExtent l="0" t="0" r="9525" b="10795"/>
            <wp:docPr id="37" name="Picture" descr="Pola musiman bulanan Bog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descr="Pola musiman bulanan Bogor"/>
                    <pic:cNvPicPr>
                      <a:picLocks noChangeAspect="1" noChangeArrowheads="1"/>
                    </pic:cNvPicPr>
                  </pic:nvPicPr>
                  <pic:blipFill>
                    <a:blip r:embed="rId50"/>
                    <a:stretch>
                      <a:fillRect/>
                    </a:stretch>
                  </pic:blipFill>
                  <pic:spPr>
                    <a:xfrm>
                      <a:off x="0" y="0"/>
                      <a:ext cx="4956175" cy="2453005"/>
                    </a:xfrm>
                    <a:prstGeom prst="rect">
                      <a:avLst/>
                    </a:prstGeom>
                    <a:noFill/>
                    <a:ln w="9525">
                      <a:noFill/>
                    </a:ln>
                  </pic:spPr>
                </pic:pic>
              </a:graphicData>
            </a:graphic>
          </wp:inline>
        </w:drawing>
      </w:r>
    </w:p>
    <w:p w14:paraId="1590A31D">
      <w:pPr>
        <w:jc w:val="center"/>
        <w:rPr>
          <w:b/>
          <w:lang w:val="en-US"/>
        </w:rPr>
      </w:pPr>
      <w:bookmarkStart w:id="100" w:name="_Toc236077421"/>
      <w:r>
        <w:rPr>
          <w:b/>
          <w:lang w:val="en-US"/>
        </w:rPr>
        <w:t>G</w:t>
      </w:r>
      <w:r>
        <w:rPr>
          <w:b/>
        </w:rPr>
        <w:t xml:space="preserve">ambar 4. </w:t>
      </w:r>
      <w:r>
        <w:rPr>
          <w:b/>
        </w:rPr>
        <w:fldChar w:fldCharType="begin"/>
      </w:r>
      <w:r>
        <w:rPr>
          <w:b/>
        </w:rPr>
        <w:instrText xml:space="preserve"> SEQ Gambar_4. \* ARABIC </w:instrText>
      </w:r>
      <w:r>
        <w:rPr>
          <w:b/>
        </w:rPr>
        <w:fldChar w:fldCharType="separate"/>
      </w:r>
      <w:r>
        <w:rPr>
          <w:b/>
        </w:rPr>
        <w:t>10</w:t>
      </w:r>
      <w:r>
        <w:rPr>
          <w:b/>
        </w:rPr>
        <w:fldChar w:fldCharType="end"/>
      </w:r>
      <w:r>
        <w:rPr>
          <w:b/>
          <w:lang w:val="en-US"/>
        </w:rPr>
        <w:t xml:space="preserve"> Pola musiman bulanan Bogor sebagai wilayah sumber</w:t>
      </w:r>
      <w:bookmarkEnd w:id="100"/>
    </w:p>
    <w:p w14:paraId="68CE5FA2">
      <w:pPr>
        <w:ind w:firstLine="720"/>
        <w:rPr>
          <w:rFonts w:cs="Times New Roman"/>
        </w:rPr>
      </w:pPr>
      <w:r>
        <w:rPr>
          <w:rFonts w:cs="Times New Roman"/>
        </w:rPr>
        <w:t>Pola target tetap ditampilkan terpisah karena masing-masing mewakili domain transfer yang berbeda: Kupang sebagai monsunal kering, Padang sebagai ekuatorial basah, dan Ambon sebagai pola lokal</w:t>
      </w:r>
      <w:r>
        <w:rPr>
          <w:rFonts w:cs="Times New Roman"/>
          <w:lang w:val="en-US"/>
        </w:rPr>
        <w:t xml:space="preserve"> tersedia pada Gambar 4. 11–4. 13</w:t>
      </w:r>
      <w:r>
        <w:rPr>
          <w:rFonts w:cs="Times New Roman"/>
        </w:rPr>
        <w:t>.</w:t>
      </w:r>
    </w:p>
    <w:p w14:paraId="5037AA5C">
      <w:pPr>
        <w:jc w:val="center"/>
        <w:rPr>
          <w:b/>
        </w:rPr>
      </w:pPr>
      <w:r>
        <w:rPr>
          <w:rFonts w:cs="Times New Roman"/>
          <w:color w:val="C00000"/>
        </w:rPr>
        <w:drawing>
          <wp:inline distT="0" distB="0" distL="114300" distR="114300">
            <wp:extent cx="4518660" cy="2155825"/>
            <wp:effectExtent l="0" t="0" r="0" b="0"/>
            <wp:docPr id="66" name="Picture" descr="Pola musiman monsunal tegas (Kup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descr="Pola musiman monsunal tegas (Kupang)"/>
                    <pic:cNvPicPr>
                      <a:picLocks noChangeAspect="1" noChangeArrowheads="1"/>
                    </pic:cNvPicPr>
                  </pic:nvPicPr>
                  <pic:blipFill>
                    <a:blip r:embed="rId51"/>
                    <a:stretch>
                      <a:fillRect/>
                    </a:stretch>
                  </pic:blipFill>
                  <pic:spPr>
                    <a:xfrm>
                      <a:off x="0" y="0"/>
                      <a:ext cx="4524510" cy="2158802"/>
                    </a:xfrm>
                    <a:prstGeom prst="rect">
                      <a:avLst/>
                    </a:prstGeom>
                    <a:noFill/>
                    <a:ln w="9525">
                      <a:noFill/>
                    </a:ln>
                  </pic:spPr>
                </pic:pic>
              </a:graphicData>
            </a:graphic>
          </wp:inline>
        </w:drawing>
      </w:r>
    </w:p>
    <w:p w14:paraId="028F6377">
      <w:pPr>
        <w:jc w:val="center"/>
        <w:rPr>
          <w:b/>
          <w:lang w:val="en-US"/>
        </w:rPr>
      </w:pPr>
      <w:bookmarkStart w:id="101" w:name="_Toc236077422"/>
      <w:r>
        <w:rPr>
          <w:b/>
        </w:rPr>
        <w:t xml:space="preserve">Gambar 4. </w:t>
      </w:r>
      <w:r>
        <w:rPr>
          <w:b/>
        </w:rPr>
        <w:fldChar w:fldCharType="begin"/>
      </w:r>
      <w:r>
        <w:rPr>
          <w:b/>
        </w:rPr>
        <w:instrText xml:space="preserve"> SEQ Gambar_4. \* ARABIC </w:instrText>
      </w:r>
      <w:r>
        <w:rPr>
          <w:b/>
        </w:rPr>
        <w:fldChar w:fldCharType="separate"/>
      </w:r>
      <w:r>
        <w:rPr>
          <w:b/>
        </w:rPr>
        <w:t>11</w:t>
      </w:r>
      <w:r>
        <w:rPr>
          <w:b/>
        </w:rPr>
        <w:fldChar w:fldCharType="end"/>
      </w:r>
      <w:r>
        <w:rPr>
          <w:b/>
          <w:lang w:val="en-US"/>
        </w:rPr>
        <w:t xml:space="preserve"> Pola musiman bulanan Kupang sebagai target monsunal</w:t>
      </w:r>
      <w:bookmarkEnd w:id="101"/>
    </w:p>
    <w:p w14:paraId="51E7901D">
      <w:pPr>
        <w:jc w:val="center"/>
        <w:rPr>
          <w:b/>
          <w:i/>
        </w:rPr>
      </w:pPr>
      <w:r>
        <w:rPr>
          <w:rFonts w:cs="Times New Roman"/>
          <w:color w:val="C00000"/>
        </w:rPr>
        <w:drawing>
          <wp:inline distT="0" distB="0" distL="114300" distR="114300">
            <wp:extent cx="4419600" cy="2108835"/>
            <wp:effectExtent l="0" t="0" r="0" b="5715"/>
            <wp:docPr id="69" name="Picture" descr="Pola musiman ekuatorial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descr="Pola musiman ekuatorial (Padang)"/>
                    <pic:cNvPicPr>
                      <a:picLocks noChangeAspect="1" noChangeArrowheads="1"/>
                    </pic:cNvPicPr>
                  </pic:nvPicPr>
                  <pic:blipFill>
                    <a:blip r:embed="rId52"/>
                    <a:stretch>
                      <a:fillRect/>
                    </a:stretch>
                  </pic:blipFill>
                  <pic:spPr>
                    <a:xfrm>
                      <a:off x="0" y="0"/>
                      <a:ext cx="4422012" cy="2110309"/>
                    </a:xfrm>
                    <a:prstGeom prst="rect">
                      <a:avLst/>
                    </a:prstGeom>
                    <a:noFill/>
                    <a:ln w="9525">
                      <a:noFill/>
                    </a:ln>
                  </pic:spPr>
                </pic:pic>
              </a:graphicData>
            </a:graphic>
          </wp:inline>
        </w:drawing>
      </w:r>
    </w:p>
    <w:p w14:paraId="3B90981B">
      <w:pPr>
        <w:jc w:val="center"/>
        <w:rPr>
          <w:b/>
          <w:lang w:val="en-US"/>
        </w:rPr>
      </w:pPr>
      <w:bookmarkStart w:id="102" w:name="_Toc236077423"/>
      <w:r>
        <w:rPr>
          <w:b/>
        </w:rPr>
        <w:t xml:space="preserve">Gambar 4. </w:t>
      </w:r>
      <w:r>
        <w:rPr>
          <w:b/>
        </w:rPr>
        <w:fldChar w:fldCharType="begin"/>
      </w:r>
      <w:r>
        <w:rPr>
          <w:b/>
        </w:rPr>
        <w:instrText xml:space="preserve"> SEQ Gambar_4. \* ARABIC </w:instrText>
      </w:r>
      <w:r>
        <w:rPr>
          <w:b/>
        </w:rPr>
        <w:fldChar w:fldCharType="separate"/>
      </w:r>
      <w:r>
        <w:rPr>
          <w:b/>
        </w:rPr>
        <w:t>12</w:t>
      </w:r>
      <w:r>
        <w:rPr>
          <w:b/>
        </w:rPr>
        <w:fldChar w:fldCharType="end"/>
      </w:r>
      <w:r>
        <w:rPr>
          <w:b/>
          <w:lang w:val="en-US"/>
        </w:rPr>
        <w:t xml:space="preserve"> Pola musiman bulanan Padang sebagai target ekuatorial</w:t>
      </w:r>
      <w:bookmarkEnd w:id="102"/>
    </w:p>
    <w:p w14:paraId="3528200C">
      <w:pPr>
        <w:jc w:val="center"/>
        <w:rPr>
          <w:b/>
          <w:i/>
        </w:rPr>
      </w:pPr>
      <w:r>
        <w:rPr>
          <w:rFonts w:cs="Times New Roman"/>
          <w:color w:val="C00000"/>
        </w:rPr>
        <w:drawing>
          <wp:inline distT="0" distB="0" distL="114300" distR="114300">
            <wp:extent cx="4389120" cy="2094230"/>
            <wp:effectExtent l="0" t="0" r="0" b="1270"/>
            <wp:docPr id="72" name="Picture" descr="Pola musiman lokal (Am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descr="Pola musiman lokal (Ambon)"/>
                    <pic:cNvPicPr>
                      <a:picLocks noChangeAspect="1" noChangeArrowheads="1"/>
                    </pic:cNvPicPr>
                  </pic:nvPicPr>
                  <pic:blipFill>
                    <a:blip r:embed="rId53"/>
                    <a:stretch>
                      <a:fillRect/>
                    </a:stretch>
                  </pic:blipFill>
                  <pic:spPr>
                    <a:xfrm>
                      <a:off x="0" y="0"/>
                      <a:ext cx="4416282" cy="2107473"/>
                    </a:xfrm>
                    <a:prstGeom prst="rect">
                      <a:avLst/>
                    </a:prstGeom>
                    <a:noFill/>
                    <a:ln w="9525">
                      <a:noFill/>
                    </a:ln>
                  </pic:spPr>
                </pic:pic>
              </a:graphicData>
            </a:graphic>
          </wp:inline>
        </w:drawing>
      </w:r>
    </w:p>
    <w:p w14:paraId="5F6236D6">
      <w:pPr>
        <w:jc w:val="center"/>
        <w:rPr>
          <w:b/>
          <w:lang w:val="en-US"/>
        </w:rPr>
      </w:pPr>
      <w:bookmarkStart w:id="103" w:name="_Toc236077424"/>
      <w:r>
        <w:rPr>
          <w:b/>
        </w:rPr>
        <w:t xml:space="preserve">Gambar 4. </w:t>
      </w:r>
      <w:r>
        <w:rPr>
          <w:b/>
        </w:rPr>
        <w:fldChar w:fldCharType="begin"/>
      </w:r>
      <w:r>
        <w:rPr>
          <w:b/>
        </w:rPr>
        <w:instrText xml:space="preserve"> SEQ Gambar_4. \* ARABIC </w:instrText>
      </w:r>
      <w:r>
        <w:rPr>
          <w:b/>
        </w:rPr>
        <w:fldChar w:fldCharType="separate"/>
      </w:r>
      <w:r>
        <w:rPr>
          <w:b/>
        </w:rPr>
        <w:t>13</w:t>
      </w:r>
      <w:r>
        <w:rPr>
          <w:b/>
        </w:rPr>
        <w:fldChar w:fldCharType="end"/>
      </w:r>
      <w:r>
        <w:rPr>
          <w:b/>
          <w:lang w:val="en-US"/>
        </w:rPr>
        <w:t xml:space="preserve"> Pola musiman bulanan Ambon sebagai target </w:t>
      </w:r>
      <w:bookmarkEnd w:id="103"/>
      <w:r>
        <w:rPr>
          <w:b/>
          <w:lang w:val="en-US"/>
        </w:rPr>
        <w:t>lokal</w:t>
      </w:r>
    </w:p>
    <w:p w14:paraId="55DE9EB6">
      <w:pPr>
        <w:ind w:firstLine="720"/>
        <w:rPr>
          <w:lang w:val="en-US"/>
        </w:rPr>
      </w:pPr>
      <w:r>
        <w:rPr>
          <w:lang w:val="en-US"/>
        </w:rPr>
        <w:t xml:space="preserve">Berdasarkan visualisasi boxplot pada seluruh wilayah (Lampiran 2), ditemukan adanya keselarasan pola curah hujan musiman bulanan dengan studi literatur </w:t>
      </w:r>
      <w:r>
        <w:rPr>
          <w:lang w:val="en-US"/>
        </w:rPr>
        <w:fldChar w:fldCharType="begin" w:fldLock="1"/>
      </w:r>
      <w:r>
        <w:rPr>
          <w:lang w:val="en-US"/>
        </w:rPr>
        <w:instrText xml:space="preserve">ADDIN CSL_CITATION {"citationItems":[{"id":"ITEM-1","itemData":{"DOI":"https://doi.org/10.1002/joc.950","ISSN":"0899-8418","abstract":"Abstract The characteristics of climatic rainfall variability in Indonesia are investigated using a double correlation method. The results are compared with empirical orthogonal function (EOF) and rotated EOF methods. In addition, local and remote responses to sea-surface temperature (SST) are discussed. The results suggest three climatic regions in Indonesia with their distinct characteristics. Region A is located in southern Indonesia from south Sumatera to Timor island, southern Kalimantan, Sulawesi and part of Irian Jaya. Region B is located in northwest Indonesia from northern Sumatra to northwestern Kalimantan. Region C encompasses Maluku and northern Sulawesi. All three regions show both strong annual and, except Region A, semi-annual variability. Region C shows the strongest El Niño?southern oscillation (ENSO) influence, followed by Region A. In Region B, the ENSO-related signal is suppressed. Except for Region B, there are significant correlations between SST and the rainfall variabilities, indicating a strong possibility for seasonal climate predictions. March to May is the most difficult season to predict the rainfall variability. From June to November, there are significant responses of the rainfall pattern to ENSO in Regions A and C. A strong ENSO influence during this normally dry season (June to September) is hazardous in El Niño years, because the negative response means that higher SST in the NIÑO3 of the Pacific region will lower the rainfall amount over the Indonesian region. Analyses of Indonesian rainfall variability reveal some sensitivities to SST variabilities in adjacent parts of the Indian and Pacific Oceans. Copyright ? 2003 Royal Meteorological Society","author":[{"dropping-particle":"","family":"Aldrian","given":"Edvin","non-dropping-particle":"","parse-names":false,"suffix":""},{"dropping-particle":"","family":"Dwi Susanto","given":"R","non-dropping-particle":"","parse-names":false,"suffix":""}],"container-title":"International Journal of Climatology","id":"ITEM-1","issue":"12","issued":{"date-parts":[["2003","10","1"]]},"page":"1435-1452","publisher":"John Wiley &amp; Sons, Ltd","title":"Identification of three dominant rainfall regions within Indonesia and their relationship to sea surface temperature","type":"article-journal","volume":"23"},"uris":["http://www.mendeley.com/documents/?uuid=72070aeb-0dd2-4839-9d71-a4c3368ca89e"]}],"mendeley":{"formattedCitation":"(Aldrian dan Dwi Susanto, 2003)","plainTextFormattedCitation":"(Aldrian dan Dwi Susanto, 2003)","previouslyFormattedCitation":"(Aldrian dan Dwi Susanto, 2003)"},"properties":{"noteIndex":0},"schema":"https://github.com/citation-style-language/schema/raw/master/csl-citation.json"}</w:instrText>
      </w:r>
      <w:r>
        <w:rPr>
          <w:lang w:val="en-US"/>
        </w:rPr>
        <w:fldChar w:fldCharType="separate"/>
      </w:r>
      <w:r>
        <w:rPr>
          <w:lang w:val="en-US"/>
        </w:rPr>
        <w:t>(Aldrian dan Dwi Susanto, 2003)</w:t>
      </w:r>
      <w:r>
        <w:rPr>
          <w:lang w:val="en-US"/>
        </w:rPr>
        <w:fldChar w:fldCharType="end"/>
      </w:r>
      <w:r>
        <w:rPr>
          <w:lang w:val="en-US"/>
        </w:rPr>
        <w:t>.</w:t>
      </w:r>
    </w:p>
    <w:p w14:paraId="587B8654">
      <w:pPr>
        <w:pStyle w:val="4"/>
      </w:pPr>
      <w:r>
        <w:t>4.2.1 Hasil Evaluasi Skema Seleksi Fitur mRMR</w:t>
      </w:r>
    </w:p>
    <w:p w14:paraId="15DD3908">
      <w:pPr>
        <w:ind w:firstLine="720"/>
        <w:rPr>
          <w:lang w:val="en-US"/>
        </w:rPr>
      </w:pPr>
      <w:r>
        <w:rPr>
          <w:lang w:val="en-US"/>
        </w:rPr>
        <w:t>Seleksi fitur menggunakan mRMR dievaluasi sebagai tahap eksplorasi preprocessing. Setelah data diseleksi, ternyata ditemukan bahwa masing-masing pos sangat berbeda fitur yang digunakan, maka keputusan untuk sementara ini agar menggunakan skema mRMR-</w:t>
      </w:r>
      <w:r>
        <w:rPr>
          <w:i/>
          <w:lang w:val="en-US"/>
        </w:rPr>
        <w:t>full</w:t>
      </w:r>
      <w:r>
        <w:rPr>
          <w:lang w:val="en-US"/>
        </w:rPr>
        <w:t xml:space="preserve"> mempertahankan seluruh 22 prediktor terstandardisasi sehingga tidak menghasilkan pengurangan dimensi dibandingkan skema fitur penuh. Oleh karena itu, untuk menjaga konsistensi dataset gabungan 10 POS Jawa Barat, seluruh eksperimen HPO, pelatihan ulang, dan evaluasi model final menggunakan </w:t>
      </w:r>
      <w:r>
        <w:rPr>
          <w:i/>
          <w:lang w:val="en-US"/>
        </w:rPr>
        <w:t>feature_scheme=full</w:t>
      </w:r>
      <w:r>
        <w:rPr>
          <w:lang w:val="en-US"/>
        </w:rPr>
        <w:t>. Varian tereduksi mRMR-k8 dan mRMR-k12 tidak digunakan sebagai faktor eksperimen pada hasil akhir pada Tabel 4. 5.</w:t>
      </w:r>
    </w:p>
    <w:p w14:paraId="62E1ACB0">
      <w:pPr>
        <w:pStyle w:val="11"/>
        <w:keepNext/>
        <w:jc w:val="center"/>
        <w:rPr>
          <w:b/>
          <w:i w:val="0"/>
          <w:color w:val="auto"/>
          <w:sz w:val="24"/>
        </w:rPr>
      </w:pPr>
      <w:bookmarkStart w:id="104" w:name="_Toc236786428"/>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5</w:t>
      </w:r>
      <w:r>
        <w:rPr>
          <w:b/>
          <w:i w:val="0"/>
          <w:color w:val="auto"/>
          <w:sz w:val="24"/>
        </w:rPr>
        <w:fldChar w:fldCharType="end"/>
      </w:r>
      <w:r>
        <w:rPr>
          <w:b/>
          <w:i w:val="0"/>
          <w:color w:val="auto"/>
          <w:sz w:val="24"/>
          <w:lang w:val="en-US"/>
        </w:rPr>
        <w:t xml:space="preserve"> Fitur Masukan pada Skema Final</w:t>
      </w:r>
      <w:bookmarkEnd w:id="104"/>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0"/>
        <w:gridCol w:w="3960"/>
      </w:tblGrid>
      <w:tr w14:paraId="299C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06AAD267">
            <w:pPr>
              <w:jc w:val="center"/>
              <w:rPr>
                <w:b/>
                <w:lang w:val="en-US"/>
              </w:rPr>
            </w:pPr>
            <w:r>
              <w:rPr>
                <w:b/>
                <w:lang w:val="en-US"/>
              </w:rPr>
              <w:t>Kelompok</w:t>
            </w:r>
          </w:p>
        </w:tc>
        <w:tc>
          <w:tcPr>
            <w:tcW w:w="3960" w:type="dxa"/>
            <w:vAlign w:val="center"/>
          </w:tcPr>
          <w:p w14:paraId="62567390">
            <w:pPr>
              <w:jc w:val="center"/>
              <w:rPr>
                <w:b/>
                <w:lang w:val="en-US"/>
              </w:rPr>
            </w:pPr>
            <w:r>
              <w:rPr>
                <w:b/>
                <w:lang w:val="en-US"/>
              </w:rPr>
              <w:t>Fitur</w:t>
            </w:r>
          </w:p>
        </w:tc>
      </w:tr>
      <w:tr w14:paraId="03BE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686AEDF1">
            <w:pPr>
              <w:jc w:val="center"/>
              <w:rPr>
                <w:lang w:val="en-US"/>
              </w:rPr>
            </w:pPr>
            <w:r>
              <w:rPr>
                <w:lang w:val="en-US"/>
              </w:rPr>
              <w:t>Musiman</w:t>
            </w:r>
          </w:p>
        </w:tc>
        <w:tc>
          <w:tcPr>
            <w:tcW w:w="3960" w:type="dxa"/>
            <w:vAlign w:val="center"/>
          </w:tcPr>
          <w:p w14:paraId="6937261E">
            <w:pPr>
              <w:jc w:val="center"/>
              <w:rPr>
                <w:lang w:val="en-US"/>
              </w:rPr>
            </w:pPr>
            <w:r>
              <w:rPr>
                <w:lang w:val="en-US"/>
              </w:rPr>
              <w:t>sin36, cos36</w:t>
            </w:r>
          </w:p>
        </w:tc>
      </w:tr>
      <w:tr w14:paraId="4E94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338A33AF">
            <w:pPr>
              <w:jc w:val="center"/>
              <w:rPr>
                <w:lang w:val="en-US"/>
              </w:rPr>
            </w:pPr>
            <w:r>
              <w:rPr>
                <w:lang w:val="en-US"/>
              </w:rPr>
              <w:t>Atmosfer Permukaan</w:t>
            </w:r>
          </w:p>
        </w:tc>
        <w:tc>
          <w:tcPr>
            <w:tcW w:w="3960" w:type="dxa"/>
            <w:vAlign w:val="center"/>
          </w:tcPr>
          <w:p w14:paraId="57ED885B">
            <w:pPr>
              <w:jc w:val="center"/>
              <w:rPr>
                <w:lang w:val="en-US"/>
              </w:rPr>
            </w:pPr>
            <w:r>
              <w:rPr>
                <w:lang w:val="en-US"/>
              </w:rPr>
              <w:t>t2m, d2m, u10, v10, rh, rh_lag1</w:t>
            </w:r>
          </w:p>
        </w:tc>
      </w:tr>
      <w:tr w14:paraId="3745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412F5C73">
            <w:pPr>
              <w:jc w:val="center"/>
              <w:rPr>
                <w:lang w:val="en-US"/>
              </w:rPr>
            </w:pPr>
            <w:r>
              <w:rPr>
                <w:lang w:val="en-US"/>
              </w:rPr>
              <w:t>QBO</w:t>
            </w:r>
          </w:p>
        </w:tc>
        <w:tc>
          <w:tcPr>
            <w:tcW w:w="3960" w:type="dxa"/>
            <w:vAlign w:val="center"/>
          </w:tcPr>
          <w:p w14:paraId="50FA8ECE">
            <w:pPr>
              <w:jc w:val="center"/>
              <w:rPr>
                <w:lang w:val="en-US"/>
              </w:rPr>
            </w:pPr>
            <w:r>
              <w:rPr>
                <w:lang w:val="en-US"/>
              </w:rPr>
              <w:t>qbo, qbo_lag1</w:t>
            </w:r>
          </w:p>
        </w:tc>
      </w:tr>
      <w:tr w14:paraId="6852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7780C4AF">
            <w:pPr>
              <w:jc w:val="center"/>
              <w:rPr>
                <w:lang w:val="en-US"/>
              </w:rPr>
            </w:pPr>
            <w:r>
              <w:rPr>
                <w:lang w:val="en-US"/>
              </w:rPr>
              <w:t>MJO</w:t>
            </w:r>
          </w:p>
        </w:tc>
        <w:tc>
          <w:tcPr>
            <w:tcW w:w="3960" w:type="dxa"/>
            <w:vAlign w:val="center"/>
          </w:tcPr>
          <w:p w14:paraId="22065760">
            <w:pPr>
              <w:jc w:val="center"/>
              <w:rPr>
                <w:lang w:val="en-US"/>
              </w:rPr>
            </w:pPr>
            <w:r>
              <w:rPr>
                <w:lang w:val="en-US"/>
              </w:rPr>
              <w:t>mjo_active_frac, mjo_amp_mean, mjo_amp_mean_lag1, mjo_phase_sin_mean, mjo_phase_cos_mean</w:t>
            </w:r>
          </w:p>
        </w:tc>
      </w:tr>
      <w:tr w14:paraId="0443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4A27FBD0">
            <w:pPr>
              <w:jc w:val="center"/>
              <w:rPr>
                <w:lang w:val="en-US"/>
              </w:rPr>
            </w:pPr>
            <w:r>
              <w:rPr>
                <w:i/>
                <w:lang w:val="en-US"/>
              </w:rPr>
              <w:t>Real-time Multivariate</w:t>
            </w:r>
            <w:r>
              <w:rPr>
                <w:lang w:val="en-US"/>
              </w:rPr>
              <w:t xml:space="preserve"> MJO (RMM)</w:t>
            </w:r>
          </w:p>
        </w:tc>
        <w:tc>
          <w:tcPr>
            <w:tcW w:w="3960" w:type="dxa"/>
            <w:vAlign w:val="center"/>
          </w:tcPr>
          <w:p w14:paraId="7AF42BDB">
            <w:pPr>
              <w:jc w:val="center"/>
              <w:rPr>
                <w:lang w:val="en-US"/>
              </w:rPr>
            </w:pPr>
            <w:r>
              <w:rPr>
                <w:lang w:val="en-US"/>
              </w:rPr>
              <w:t>rmm1_mean, rmm1_mean_lag1, rmm2_mean, rmm2_mean_lag1</w:t>
            </w:r>
          </w:p>
        </w:tc>
      </w:tr>
      <w:tr w14:paraId="3788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vAlign w:val="center"/>
          </w:tcPr>
          <w:p w14:paraId="2ABF9536">
            <w:pPr>
              <w:jc w:val="center"/>
              <w:rPr>
                <w:lang w:val="en-US"/>
              </w:rPr>
            </w:pPr>
            <w:r>
              <w:rPr>
                <w:lang w:val="en-US"/>
              </w:rPr>
              <w:t>Riwayat Curah Hujan</w:t>
            </w:r>
          </w:p>
        </w:tc>
        <w:tc>
          <w:tcPr>
            <w:tcW w:w="3960" w:type="dxa"/>
            <w:vAlign w:val="center"/>
          </w:tcPr>
          <w:p w14:paraId="12CC0280">
            <w:pPr>
              <w:jc w:val="center"/>
              <w:rPr>
                <w:lang w:val="en-US"/>
              </w:rPr>
            </w:pPr>
            <w:r>
              <w:rPr>
                <w:lang w:val="en-US"/>
              </w:rPr>
              <w:t>tp_mm_lag1, tp_mm_lag2, tp_mm_lag3</w:t>
            </w:r>
          </w:p>
        </w:tc>
      </w:tr>
      <w:bookmarkEnd w:id="98"/>
    </w:tbl>
    <w:p w14:paraId="590528C7">
      <w:pPr>
        <w:spacing w:after="0"/>
      </w:pPr>
      <w:bookmarkStart w:id="105" w:name="_Toc236076756"/>
      <w:bookmarkStart w:id="106" w:name="X8664060dda48b825dfaee38f2e847192fb6695b"/>
    </w:p>
    <w:p w14:paraId="0F645107">
      <w:pPr>
        <w:pStyle w:val="3"/>
      </w:pPr>
      <w:r>
        <w:t>4.3 Hasil HPO Model</w:t>
      </w:r>
      <w:bookmarkEnd w:id="105"/>
    </w:p>
    <w:p w14:paraId="168544B3">
      <w:pPr>
        <w:pStyle w:val="4"/>
      </w:pPr>
      <w:bookmarkStart w:id="107" w:name="_Toc236076757"/>
      <w:r>
        <w:t>4.3.1 Ringkasan Hasil Matriks HPO × Model</w:t>
      </w:r>
      <w:bookmarkEnd w:id="107"/>
    </w:p>
    <w:p w14:paraId="11A941A0">
      <w:pPr>
        <w:pStyle w:val="5"/>
        <w:spacing w:before="0"/>
        <w:ind w:firstLine="720"/>
        <w:rPr>
          <w:rFonts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Tabel 4.</w:t>
      </w:r>
      <w:r>
        <w:rPr>
          <w:rFonts w:cs="Times New Roman"/>
          <w:color w:val="000000" w:themeColor="text1"/>
          <w:lang w:val="en-US"/>
          <w14:textFill>
            <w14:solidFill>
              <w14:schemeClr w14:val="tx1"/>
            </w14:solidFill>
          </w14:textFill>
        </w:rPr>
        <w:t xml:space="preserve"> 6 </w:t>
      </w:r>
      <w:r>
        <w:rPr>
          <w:rFonts w:cs="Times New Roman"/>
          <w:color w:val="000000" w:themeColor="text1"/>
          <w14:textFill>
            <w14:solidFill>
              <w14:schemeClr w14:val="tx1"/>
            </w14:solidFill>
          </w14:textFill>
        </w:rPr>
        <w:t xml:space="preserve">menunjukkan nilai RMSE rata-rata H1–H6 terbaik yang ditemukan pada setiap kombinasi HPO dan model. Nilai yang lebih kecil menunjukkan kinerja yang lebih baik. </w:t>
      </w:r>
    </w:p>
    <w:p w14:paraId="25474C40">
      <w:pPr>
        <w:pStyle w:val="11"/>
        <w:keepNext/>
        <w:jc w:val="center"/>
        <w:rPr>
          <w:b/>
          <w:i w:val="0"/>
          <w:color w:val="auto"/>
          <w:sz w:val="24"/>
          <w:lang w:val="en-US"/>
        </w:rPr>
      </w:pPr>
      <w:bookmarkStart w:id="108" w:name="_Toc236786429"/>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lang w:val="en-US"/>
        </w:rPr>
        <w:t xml:space="preserve"> Matriks RMSE Terbaik Hasil HPO Combined</w:t>
      </w:r>
      <w:bookmarkEnd w:id="108"/>
    </w:p>
    <w:tbl>
      <w:tblPr>
        <w:tblStyle w:val="67"/>
        <w:tblW w:w="5000" w:type="pct"/>
        <w:tblInd w:w="0" w:type="dxa"/>
        <w:tblLayout w:type="fixed"/>
        <w:tblCellMar>
          <w:top w:w="0" w:type="dxa"/>
          <w:left w:w="108" w:type="dxa"/>
          <w:bottom w:w="0" w:type="dxa"/>
          <w:right w:w="108" w:type="dxa"/>
        </w:tblCellMar>
      </w:tblPr>
      <w:tblGrid>
        <w:gridCol w:w="1216"/>
        <w:gridCol w:w="1517"/>
        <w:gridCol w:w="1557"/>
        <w:gridCol w:w="1021"/>
        <w:gridCol w:w="1419"/>
        <w:gridCol w:w="1415"/>
      </w:tblGrid>
      <w:tr w14:paraId="5327AE59">
        <w:tblPrEx>
          <w:tblCellMar>
            <w:top w:w="0" w:type="dxa"/>
            <w:left w:w="108" w:type="dxa"/>
            <w:bottom w:w="0" w:type="dxa"/>
            <w:right w:w="108" w:type="dxa"/>
          </w:tblCellMar>
        </w:tblPrEx>
        <w:trPr>
          <w:tblHeader/>
        </w:trPr>
        <w:tc>
          <w:tcPr>
            <w:tcW w:w="746"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3B4504C6">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14:textFill>
                  <w14:solidFill>
                    <w14:schemeClr w14:val="tx1"/>
                  </w14:solidFill>
                </w14:textFill>
              </w:rPr>
              <w:t>HPO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4EB61">
            <w:pPr>
              <w:pStyle w:val="66"/>
              <w:jc w:val="center"/>
              <w:rPr>
                <w:rFonts w:cs="Times New Roman"/>
                <w:b/>
                <w:bCs/>
                <w:i/>
                <w:iCs/>
                <w:color w:val="000000" w:themeColor="text1"/>
                <w:sz w:val="22"/>
                <w:szCs w:val="21"/>
                <w14:textFill>
                  <w14:solidFill>
                    <w14:schemeClr w14:val="tx1"/>
                  </w14:solidFill>
                </w14:textFill>
              </w:rPr>
            </w:pPr>
            <w:r>
              <w:rPr>
                <w:rFonts w:cs="Times New Roman"/>
                <w:b/>
                <w:bCs/>
                <w:i/>
                <w:iCs/>
                <w:color w:val="000000" w:themeColor="text1"/>
                <w:sz w:val="22"/>
                <w:szCs w:val="21"/>
                <w14:textFill>
                  <w14:solidFill>
                    <w14:schemeClr w14:val="tx1"/>
                  </w14:solidFill>
                </w14:textFill>
              </w:rPr>
              <w:t>Transformer</w:t>
            </w:r>
          </w:p>
        </w:tc>
        <w:tc>
          <w:tcPr>
            <w:tcW w:w="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6E512">
            <w:pPr>
              <w:pStyle w:val="66"/>
              <w:jc w:val="center"/>
              <w:rPr>
                <w:rFonts w:cs="Times New Roman"/>
                <w:b/>
                <w:bCs/>
                <w:i/>
                <w:iCs/>
                <w:color w:val="000000" w:themeColor="text1"/>
                <w:sz w:val="22"/>
                <w:szCs w:val="21"/>
                <w:lang w:val="en-US"/>
                <w14:textFill>
                  <w14:solidFill>
                    <w14:schemeClr w14:val="tx1"/>
                  </w14:solidFill>
                </w14:textFill>
              </w:rPr>
            </w:pPr>
            <w:r>
              <w:rPr>
                <w:rFonts w:cs="Times New Roman"/>
                <w:b/>
                <w:bCs/>
                <w:i/>
                <w:iCs/>
                <w:color w:val="000000" w:themeColor="text1"/>
                <w:sz w:val="22"/>
                <w:szCs w:val="21"/>
                <w14:textFill>
                  <w14:solidFill>
                    <w14:schemeClr w14:val="tx1"/>
                  </w14:solidFill>
                </w14:textFill>
              </w:rPr>
              <w:t xml:space="preserve">Transformer </w:t>
            </w:r>
            <w:r>
              <w:rPr>
                <w:rFonts w:cs="Times New Roman"/>
                <w:b/>
                <w:bCs/>
                <w:i/>
                <w:iCs/>
                <w:color w:val="000000" w:themeColor="text1"/>
                <w:sz w:val="22"/>
                <w:szCs w:val="21"/>
                <w:lang w:val="en-US"/>
                <w14:textFill>
                  <w14:solidFill>
                    <w14:schemeClr w14:val="tx1"/>
                  </w14:solidFill>
                </w14:textFill>
              </w:rPr>
              <w:t>Full</w:t>
            </w:r>
          </w:p>
        </w:tc>
        <w:tc>
          <w:tcPr>
            <w:tcW w:w="6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EAE8A">
            <w:pPr>
              <w:pStyle w:val="66"/>
              <w:jc w:val="center"/>
              <w:rPr>
                <w:rFonts w:cs="Times New Roman"/>
                <w:b/>
                <w:bCs/>
                <w:i/>
                <w:iCs/>
                <w:color w:val="000000" w:themeColor="text1"/>
                <w:sz w:val="22"/>
                <w:szCs w:val="21"/>
                <w14:textFill>
                  <w14:solidFill>
                    <w14:schemeClr w14:val="tx1"/>
                  </w14:solidFill>
                </w14:textFill>
              </w:rPr>
            </w:pPr>
            <w:r>
              <w:rPr>
                <w:rFonts w:cs="Times New Roman"/>
                <w:b/>
                <w:bCs/>
                <w:i/>
                <w:iCs/>
                <w:color w:val="000000" w:themeColor="text1"/>
                <w:sz w:val="22"/>
                <w:szCs w:val="21"/>
                <w14:textFill>
                  <w14:solidFill>
                    <w14:schemeClr w14:val="tx1"/>
                  </w14:solidFill>
                </w14:textFill>
              </w:rPr>
              <w:t>GRU</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ADD84">
            <w:pPr>
              <w:pStyle w:val="66"/>
              <w:jc w:val="center"/>
              <w:rPr>
                <w:rFonts w:cs="Times New Roman"/>
                <w:b/>
                <w:bCs/>
                <w:i/>
                <w:iCs/>
                <w:color w:val="000000" w:themeColor="text1"/>
                <w:sz w:val="22"/>
                <w:szCs w:val="21"/>
                <w14:textFill>
                  <w14:solidFill>
                    <w14:schemeClr w14:val="tx1"/>
                  </w14:solidFill>
                </w14:textFill>
              </w:rPr>
            </w:pPr>
            <w:r>
              <w:rPr>
                <w:rFonts w:cs="Times New Roman"/>
                <w:b/>
                <w:bCs/>
                <w:i/>
                <w:iCs/>
                <w:color w:val="000000" w:themeColor="text1"/>
                <w:sz w:val="22"/>
                <w:szCs w:val="21"/>
                <w14:textFill>
                  <w14:solidFill>
                    <w14:schemeClr w14:val="tx1"/>
                  </w14:solidFill>
                </w14:textFill>
              </w:rPr>
              <w:t>LSTM</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0F4AF">
            <w:pPr>
              <w:pStyle w:val="66"/>
              <w:jc w:val="center"/>
              <w:rPr>
                <w:rFonts w:cs="Times New Roman"/>
                <w:b/>
                <w:bCs/>
                <w:i/>
                <w:iCs/>
                <w:color w:val="000000" w:themeColor="text1"/>
                <w:sz w:val="22"/>
                <w:szCs w:val="21"/>
                <w14:textFill>
                  <w14:solidFill>
                    <w14:schemeClr w14:val="tx1"/>
                  </w14:solidFill>
                </w14:textFill>
              </w:rPr>
            </w:pPr>
            <w:r>
              <w:rPr>
                <w:rFonts w:cs="Times New Roman"/>
                <w:b/>
                <w:bCs/>
                <w:i/>
                <w:iCs/>
                <w:color w:val="000000" w:themeColor="text1"/>
                <w:sz w:val="22"/>
                <w:szCs w:val="21"/>
                <w14:textFill>
                  <w14:solidFill>
                    <w14:schemeClr w14:val="tx1"/>
                  </w14:solidFill>
                </w14:textFill>
              </w:rPr>
              <w:t>BiLSTM</w:t>
            </w:r>
          </w:p>
        </w:tc>
      </w:tr>
      <w:tr w14:paraId="22661347">
        <w:tblPrEx>
          <w:tblCellMar>
            <w:top w:w="0" w:type="dxa"/>
            <w:left w:w="108" w:type="dxa"/>
            <w:bottom w:w="0" w:type="dxa"/>
            <w:right w:w="108" w:type="dxa"/>
          </w:tblCellMar>
        </w:tblPrEx>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85ED4">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IFPOA-X</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AC455">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3,0401</w:t>
            </w:r>
          </w:p>
        </w:tc>
        <w:tc>
          <w:tcPr>
            <w:tcW w:w="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AB824">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3,1153</w:t>
            </w:r>
          </w:p>
        </w:tc>
        <w:tc>
          <w:tcPr>
            <w:tcW w:w="6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6E696">
            <w:pPr>
              <w:pStyle w:val="66"/>
              <w:jc w:val="center"/>
              <w:rPr>
                <w:rFonts w:cs="Times New Roman"/>
                <w:color w:val="000000" w:themeColor="text1"/>
                <w:sz w:val="22"/>
                <w:szCs w:val="21"/>
                <w14:textFill>
                  <w14:solidFill>
                    <w14:schemeClr w14:val="tx1"/>
                  </w14:solidFill>
                </w14:textFill>
              </w:rPr>
            </w:pPr>
            <w:r>
              <w:rPr>
                <w:rFonts w:cs="Times New Roman"/>
                <w:b/>
                <w:color w:val="000000" w:themeColor="text1"/>
                <w14:textFill>
                  <w14:solidFill>
                    <w14:schemeClr w14:val="tx1"/>
                  </w14:solidFill>
                </w14:textFill>
              </w:rPr>
              <w:t>2,9931</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8FA75">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3,0213</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D3EFC">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3,0321</w:t>
            </w:r>
          </w:p>
        </w:tc>
      </w:tr>
      <w:tr w14:paraId="36DEB743">
        <w:tblPrEx>
          <w:tblCellMar>
            <w:top w:w="0" w:type="dxa"/>
            <w:left w:w="108" w:type="dxa"/>
            <w:bottom w:w="0" w:type="dxa"/>
            <w:right w:w="108" w:type="dxa"/>
          </w:tblCellMar>
        </w:tblPrEx>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E5A71">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PSO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07E1C">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3,1545</w:t>
            </w:r>
          </w:p>
        </w:tc>
        <w:tc>
          <w:tcPr>
            <w:tcW w:w="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2E8F0">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3,4627</w:t>
            </w:r>
          </w:p>
        </w:tc>
        <w:tc>
          <w:tcPr>
            <w:tcW w:w="6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F2744">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3,0068</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21AA5">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3,0478</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4F598">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3,0259</w:t>
            </w:r>
          </w:p>
        </w:tc>
      </w:tr>
      <w:tr w14:paraId="770A42DF">
        <w:tblPrEx>
          <w:tblCellMar>
            <w:top w:w="0" w:type="dxa"/>
            <w:left w:w="108" w:type="dxa"/>
            <w:bottom w:w="0" w:type="dxa"/>
            <w:right w:w="108" w:type="dxa"/>
          </w:tblCellMar>
        </w:tblPrEx>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96686">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FPA</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EECB5">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3,1545</w:t>
            </w:r>
          </w:p>
        </w:tc>
        <w:tc>
          <w:tcPr>
            <w:tcW w:w="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BC747">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3,4627</w:t>
            </w:r>
          </w:p>
        </w:tc>
        <w:tc>
          <w:tcPr>
            <w:tcW w:w="6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8BB60">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3,0071</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8F76A">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3,0387</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8776D">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3,0342</w:t>
            </w:r>
          </w:p>
        </w:tc>
      </w:tr>
      <w:tr w14:paraId="2B61C0E6">
        <w:tblPrEx>
          <w:tblCellMar>
            <w:top w:w="0" w:type="dxa"/>
            <w:left w:w="108" w:type="dxa"/>
            <w:bottom w:w="0" w:type="dxa"/>
            <w:right w:w="108" w:type="dxa"/>
          </w:tblCellMar>
        </w:tblPrEx>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460A4">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BO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C68B1">
            <w:pPr>
              <w:pStyle w:val="66"/>
              <w:jc w:val="center"/>
              <w:rPr>
                <w:rFonts w:cs="Times New Roman"/>
                <w:b/>
                <w:color w:val="000000" w:themeColor="text1"/>
                <w:sz w:val="22"/>
                <w:szCs w:val="21"/>
                <w14:textFill>
                  <w14:solidFill>
                    <w14:schemeClr w14:val="tx1"/>
                  </w14:solidFill>
                </w14:textFill>
              </w:rPr>
            </w:pPr>
            <w:r>
              <w:rPr>
                <w:rFonts w:cs="Times New Roman"/>
                <w:b/>
                <w:color w:val="000000" w:themeColor="text1"/>
                <w:sz w:val="22"/>
                <w:szCs w:val="21"/>
                <w14:textFill>
                  <w14:solidFill>
                    <w14:schemeClr w14:val="tx1"/>
                  </w14:solidFill>
                </w14:textFill>
              </w:rPr>
              <w:t>2,9934</w:t>
            </w:r>
          </w:p>
        </w:tc>
        <w:tc>
          <w:tcPr>
            <w:tcW w:w="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92477">
            <w:pPr>
              <w:pStyle w:val="66"/>
              <w:jc w:val="center"/>
              <w:rPr>
                <w:rFonts w:cs="Times New Roman"/>
                <w:b/>
                <w:color w:val="000000" w:themeColor="text1"/>
                <w:sz w:val="22"/>
                <w:szCs w:val="21"/>
                <w14:textFill>
                  <w14:solidFill>
                    <w14:schemeClr w14:val="tx1"/>
                  </w14:solidFill>
                </w14:textFill>
              </w:rPr>
            </w:pPr>
            <w:r>
              <w:rPr>
                <w:rFonts w:cs="Times New Roman"/>
                <w:b/>
                <w:color w:val="000000" w:themeColor="text1"/>
                <w:sz w:val="22"/>
                <w:szCs w:val="21"/>
                <w14:textFill>
                  <w14:solidFill>
                    <w14:schemeClr w14:val="tx1"/>
                  </w14:solidFill>
                </w14:textFill>
              </w:rPr>
              <w:t>3,0479</w:t>
            </w:r>
          </w:p>
        </w:tc>
        <w:tc>
          <w:tcPr>
            <w:tcW w:w="6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8E516">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14:textFill>
                  <w14:solidFill>
                    <w14:schemeClr w14:val="tx1"/>
                  </w14:solidFill>
                </w14:textFill>
              </w:rPr>
              <w:t>2,9964</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96093">
            <w:pPr>
              <w:pStyle w:val="66"/>
              <w:jc w:val="center"/>
              <w:rPr>
                <w:rFonts w:cs="Times New Roman"/>
                <w:b/>
                <w:color w:val="000000" w:themeColor="text1"/>
                <w:sz w:val="22"/>
                <w:szCs w:val="21"/>
                <w14:textFill>
                  <w14:solidFill>
                    <w14:schemeClr w14:val="tx1"/>
                  </w14:solidFill>
                </w14:textFill>
              </w:rPr>
            </w:pPr>
            <w:r>
              <w:rPr>
                <w:rFonts w:cs="Times New Roman"/>
                <w:b/>
                <w:color w:val="000000" w:themeColor="text1"/>
                <w:sz w:val="22"/>
                <w:szCs w:val="21"/>
                <w14:textFill>
                  <w14:solidFill>
                    <w14:schemeClr w14:val="tx1"/>
                  </w14:solidFill>
                </w14:textFill>
              </w:rPr>
              <w:t>3,0048</w:t>
            </w:r>
          </w:p>
        </w:tc>
        <w:tc>
          <w:tcPr>
            <w:tcW w:w="8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AAA3E">
            <w:pPr>
              <w:pStyle w:val="66"/>
              <w:jc w:val="center"/>
              <w:rPr>
                <w:rFonts w:cs="Times New Roman"/>
                <w:b/>
                <w:color w:val="000000" w:themeColor="text1"/>
                <w:sz w:val="22"/>
                <w:szCs w:val="21"/>
                <w14:textFill>
                  <w14:solidFill>
                    <w14:schemeClr w14:val="tx1"/>
                  </w14:solidFill>
                </w14:textFill>
              </w:rPr>
            </w:pPr>
            <w:r>
              <w:rPr>
                <w:rFonts w:cs="Times New Roman"/>
                <w:b/>
                <w:color w:val="000000" w:themeColor="text1"/>
                <w:sz w:val="22"/>
                <w:szCs w:val="21"/>
                <w14:textFill>
                  <w14:solidFill>
                    <w14:schemeClr w14:val="tx1"/>
                  </w14:solidFill>
                </w14:textFill>
              </w:rPr>
              <w:t>3,0033</w:t>
            </w:r>
          </w:p>
        </w:tc>
      </w:tr>
    </w:tbl>
    <w:p w14:paraId="6032101F">
      <w:pPr>
        <w:spacing w:before="240"/>
        <w:ind w:firstLine="7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Tabel 4.</w:t>
      </w:r>
      <w:r>
        <w:rPr>
          <w:rFonts w:cs="Times New Roman"/>
          <w:color w:val="000000" w:themeColor="text1"/>
          <w:lang w:val="en-US"/>
          <w14:textFill>
            <w14:solidFill>
              <w14:schemeClr w14:val="tx1"/>
            </w14:solidFill>
          </w14:textFill>
        </w:rPr>
        <w:t xml:space="preserve"> 7</w:t>
      </w:r>
      <w:r>
        <w:rPr>
          <w:rFonts w:cs="Times New Roman"/>
          <w:color w:val="000000" w:themeColor="text1"/>
          <w14:textFill>
            <w14:solidFill>
              <w14:schemeClr w14:val="tx1"/>
            </w14:solidFill>
          </w14:textFill>
        </w:rPr>
        <w:t xml:space="preserve"> mengurutkan 20 kombinasi HPO–model berdasarkan RMSE validasi untuk memudahkan pembacaan, bukan untuk mengubah proses optimasi menjadi optimasi satu objektif. Berdasarkan RMSE, BO menghasilkan konfigurasi terbaik pada empat dari lima arsitektur, sedangkan IFPOA-X menghasilkan RMSE terendah pada GRU. Namun, konfigurasi dengan RMSE terendah tidak selalu memiliki </w:t>
      </w:r>
      <w:r>
        <w:rPr>
          <w:rFonts w:cs="Times New Roman"/>
          <w:i/>
          <w:color w:val="000000" w:themeColor="text1"/>
          <w:lang w:val="en-US"/>
          <w14:textFill>
            <w14:solidFill>
              <w14:schemeClr w14:val="tx1"/>
            </w14:solidFill>
          </w14:textFill>
        </w:rPr>
        <w:t>S</w:t>
      </w:r>
      <w:r>
        <w:rPr>
          <w:rFonts w:cs="Times New Roman"/>
          <w:i/>
          <w:color w:val="000000" w:themeColor="text1"/>
          <w:vertAlign w:val="subscript"/>
          <w:lang w:val="en-US"/>
          <w14:textFill>
            <w14:solidFill>
              <w14:schemeClr w14:val="tx1"/>
            </w14:solidFill>
          </w14:textFill>
        </w:rPr>
        <w:t xml:space="preserve">robust </w:t>
      </w:r>
      <w:r>
        <w:rPr>
          <w:rFonts w:cs="Times New Roman"/>
          <w:color w:val="000000" w:themeColor="text1"/>
          <w14:textFill>
            <w14:solidFill>
              <w14:schemeClr w14:val="tx1"/>
            </w14:solidFill>
          </w14:textFill>
        </w:rPr>
        <w:t>atau FLOPs terendah. BO–BiLSTM, misalnya, memperoleh</w:t>
      </w:r>
      <w:r>
        <w:rPr>
          <w:rFonts w:cs="Times New Roman"/>
          <w:color w:val="000000" w:themeColor="text1"/>
          <w:lang w:val="en-US"/>
          <w14:textFill>
            <w14:solidFill>
              <w14:schemeClr w14:val="tx1"/>
            </w14:solidFill>
          </w14:textFill>
        </w:rPr>
        <w:t xml:space="preserve"> </w:t>
      </w:r>
      <w:r>
        <w:rPr>
          <w:rFonts w:cs="Times New Roman"/>
          <w:i/>
          <w:color w:val="000000" w:themeColor="text1"/>
          <w:lang w:val="en-US"/>
          <w14:textFill>
            <w14:solidFill>
              <w14:schemeClr w14:val="tx1"/>
            </w14:solidFill>
          </w14:textFill>
        </w:rPr>
        <w:t>S</w:t>
      </w:r>
      <w:r>
        <w:rPr>
          <w:rFonts w:cs="Times New Roman"/>
          <w:i/>
          <w:color w:val="000000" w:themeColor="text1"/>
          <w:vertAlign w:val="subscript"/>
          <w:lang w:val="en-US"/>
          <w14:textFill>
            <w14:solidFill>
              <w14:schemeClr w14:val="tx1"/>
            </w14:solidFill>
          </w14:textFill>
        </w:rPr>
        <w:t>robust</w:t>
      </w:r>
      <w:r>
        <w:rPr>
          <w:rFonts w:cs="Times New Roman"/>
          <w:color w:val="000000" w:themeColor="text1"/>
          <w14:textFill>
            <w14:solidFill>
              <w14:schemeClr w14:val="tx1"/>
            </w14:solidFill>
          </w14:textFill>
        </w:rPr>
        <w:t xml:space="preserve"> terendah, sedangkan beberapa model lain memiliki kompleksitas komputasi yang lebih kecil. Oleh karena itu, hasil tersebut menunjukkan adanya </w:t>
      </w:r>
      <w:r>
        <w:rPr>
          <w:rFonts w:cs="Times New Roman"/>
          <w:i/>
          <w:color w:val="000000" w:themeColor="text1"/>
          <w14:textFill>
            <w14:solidFill>
              <w14:schemeClr w14:val="tx1"/>
            </w14:solidFill>
          </w14:textFill>
        </w:rPr>
        <w:t>trade-off</w:t>
      </w:r>
      <w:r>
        <w:rPr>
          <w:rFonts w:cs="Times New Roman"/>
          <w:color w:val="000000" w:themeColor="text1"/>
          <w14:textFill>
            <w14:solidFill>
              <w14:schemeClr w14:val="tx1"/>
            </w14:solidFill>
          </w14:textFill>
        </w:rPr>
        <w:t xml:space="preserve"> antara akurasi, ketahanan, dan efisiensi, bukan superioritas mutlak satu algoritma pada seluruh kriteria. ToMarx–IFPOA-X tetap digunakan sebagai model utama pada tahap </w:t>
      </w:r>
      <w:r>
        <w:rPr>
          <w:rFonts w:cs="Times New Roman"/>
          <w:i/>
          <w:color w:val="000000" w:themeColor="text1"/>
          <w14:textFill>
            <w14:solidFill>
              <w14:schemeClr w14:val="tx1"/>
            </w14:solidFill>
          </w14:textFill>
        </w:rPr>
        <w:t>transfer learning</w:t>
      </w:r>
      <w:r>
        <w:rPr>
          <w:rFonts w:cs="Times New Roman"/>
          <w:color w:val="000000" w:themeColor="text1"/>
          <w14:textFill>
            <w14:solidFill>
              <w14:schemeClr w14:val="tx1"/>
            </w14:solidFill>
          </w14:textFill>
        </w:rPr>
        <w:t xml:space="preserve"> karena penelitian secara khusus mengevaluasi integrasi IFPOA-X dengan </w:t>
      </w:r>
      <w:r>
        <w:rPr>
          <w:rFonts w:cs="Times New Roman"/>
          <w:i/>
          <w:color w:val="000000" w:themeColor="text1"/>
          <w14:textFill>
            <w14:solidFill>
              <w14:schemeClr w14:val="tx1"/>
            </w14:solidFill>
          </w14:textFill>
        </w:rPr>
        <w:t>Transformer Encoder-Only</w:t>
      </w:r>
      <w:r>
        <w:rPr>
          <w:rFonts w:cs="Times New Roman"/>
          <w:color w:val="000000" w:themeColor="text1"/>
          <w14:textFill>
            <w14:solidFill>
              <w14:schemeClr w14:val="tx1"/>
            </w14:solidFill>
          </w14:textFill>
        </w:rPr>
        <w:t>, bukan karena konfigurasi tersebut memiliki RMSE terendah di antara seluruh kombinasi.</w:t>
      </w:r>
    </w:p>
    <w:p w14:paraId="7BA14F0F">
      <w:pPr>
        <w:pStyle w:val="11"/>
        <w:keepNext/>
        <w:jc w:val="center"/>
        <w:rPr>
          <w:b/>
          <w:i w:val="0"/>
          <w:color w:val="auto"/>
          <w:sz w:val="24"/>
        </w:rPr>
      </w:pPr>
      <w:bookmarkStart w:id="109" w:name="_Toc236786430"/>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7</w:t>
      </w:r>
      <w:r>
        <w:rPr>
          <w:b/>
          <w:i w:val="0"/>
          <w:color w:val="auto"/>
          <w:sz w:val="24"/>
        </w:rPr>
        <w:fldChar w:fldCharType="end"/>
      </w:r>
      <w:r>
        <w:rPr>
          <w:b/>
          <w:i w:val="0"/>
          <w:color w:val="auto"/>
          <w:sz w:val="24"/>
          <w:lang w:val="en-US"/>
        </w:rPr>
        <w:t xml:space="preserve"> Ranking Lengkap 20 Kombinasi HPO × Model</w:t>
      </w:r>
      <w:bookmarkEnd w:id="109"/>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108"/>
        <w:gridCol w:w="1992"/>
        <w:gridCol w:w="1487"/>
        <w:gridCol w:w="1303"/>
        <w:gridCol w:w="1300"/>
      </w:tblGrid>
      <w:tr w14:paraId="5B38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0" w:type="dxa"/>
            <w:vAlign w:val="center"/>
          </w:tcPr>
          <w:p w14:paraId="7662FA37">
            <w:pPr>
              <w:jc w:val="center"/>
              <w:rPr>
                <w:rFonts w:cs="Times New Roman"/>
                <w:b/>
                <w:sz w:val="22"/>
              </w:rPr>
            </w:pPr>
            <w:r>
              <w:rPr>
                <w:rFonts w:cs="Times New Roman"/>
                <w:b/>
                <w:sz w:val="22"/>
              </w:rPr>
              <w:t>Rank</w:t>
            </w:r>
          </w:p>
        </w:tc>
        <w:tc>
          <w:tcPr>
            <w:tcW w:w="1108" w:type="dxa"/>
            <w:vAlign w:val="center"/>
          </w:tcPr>
          <w:p w14:paraId="4E261547">
            <w:pPr>
              <w:jc w:val="center"/>
              <w:rPr>
                <w:rFonts w:cs="Times New Roman"/>
                <w:b/>
                <w:sz w:val="22"/>
              </w:rPr>
            </w:pPr>
            <w:r>
              <w:rPr>
                <w:rFonts w:cs="Times New Roman"/>
                <w:b/>
                <w:sz w:val="22"/>
              </w:rPr>
              <w:t>HPO</w:t>
            </w:r>
          </w:p>
        </w:tc>
        <w:tc>
          <w:tcPr>
            <w:tcW w:w="1992" w:type="dxa"/>
            <w:vAlign w:val="center"/>
          </w:tcPr>
          <w:p w14:paraId="260B2407">
            <w:pPr>
              <w:jc w:val="center"/>
              <w:rPr>
                <w:rFonts w:cs="Times New Roman"/>
                <w:b/>
                <w:sz w:val="22"/>
              </w:rPr>
            </w:pPr>
            <w:r>
              <w:rPr>
                <w:rFonts w:cs="Times New Roman"/>
                <w:b/>
                <w:sz w:val="22"/>
              </w:rPr>
              <w:t>Model</w:t>
            </w:r>
          </w:p>
        </w:tc>
        <w:tc>
          <w:tcPr>
            <w:tcW w:w="1487" w:type="dxa"/>
            <w:vAlign w:val="center"/>
          </w:tcPr>
          <w:p w14:paraId="1471F537">
            <w:pPr>
              <w:jc w:val="center"/>
              <w:rPr>
                <w:rFonts w:cs="Times New Roman"/>
                <w:b/>
                <w:sz w:val="22"/>
              </w:rPr>
            </w:pPr>
            <w:r>
              <w:rPr>
                <w:rFonts w:cs="Times New Roman"/>
                <w:b/>
                <w:sz w:val="22"/>
              </w:rPr>
              <w:t>RMSE HPO mean H1–H6</w:t>
            </w:r>
          </w:p>
        </w:tc>
        <w:tc>
          <w:tcPr>
            <w:tcW w:w="1303" w:type="dxa"/>
            <w:vAlign w:val="center"/>
          </w:tcPr>
          <w:p w14:paraId="72D8FC32">
            <w:pPr>
              <w:jc w:val="center"/>
              <w:rPr>
                <w:rFonts w:cs="Times New Roman"/>
                <w:b/>
                <w:i/>
                <w:sz w:val="22"/>
              </w:rPr>
            </w:pPr>
            <w:r>
              <w:rPr>
                <w:rFonts w:cs="Times New Roman"/>
                <w:b/>
                <w:i/>
                <w:sz w:val="22"/>
              </w:rPr>
              <w:t>Srobust</w:t>
            </w:r>
          </w:p>
        </w:tc>
        <w:tc>
          <w:tcPr>
            <w:tcW w:w="1300" w:type="dxa"/>
            <w:vAlign w:val="center"/>
          </w:tcPr>
          <w:p w14:paraId="094FF35E">
            <w:pPr>
              <w:jc w:val="center"/>
              <w:rPr>
                <w:rFonts w:cs="Times New Roman"/>
                <w:b/>
                <w:sz w:val="22"/>
              </w:rPr>
            </w:pPr>
            <w:r>
              <w:rPr>
                <w:rFonts w:cs="Times New Roman"/>
                <w:b/>
                <w:sz w:val="22"/>
              </w:rPr>
              <w:t>FLOPs</w:t>
            </w:r>
          </w:p>
        </w:tc>
      </w:tr>
      <w:tr w14:paraId="1767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1051A40">
            <w:pPr>
              <w:jc w:val="center"/>
              <w:rPr>
                <w:rFonts w:cs="Times New Roman"/>
                <w:sz w:val="22"/>
              </w:rPr>
            </w:pPr>
            <w:r>
              <w:rPr>
                <w:rFonts w:cs="Times New Roman"/>
                <w:sz w:val="22"/>
              </w:rPr>
              <w:t>1</w:t>
            </w:r>
          </w:p>
        </w:tc>
        <w:tc>
          <w:tcPr>
            <w:tcW w:w="1108" w:type="dxa"/>
            <w:vAlign w:val="center"/>
          </w:tcPr>
          <w:p w14:paraId="0BCCB131">
            <w:pPr>
              <w:jc w:val="center"/>
              <w:rPr>
                <w:rFonts w:cs="Times New Roman"/>
                <w:sz w:val="22"/>
              </w:rPr>
            </w:pPr>
            <w:r>
              <w:rPr>
                <w:rFonts w:cs="Times New Roman"/>
                <w:sz w:val="22"/>
              </w:rPr>
              <w:t>IFPOA-X</w:t>
            </w:r>
          </w:p>
        </w:tc>
        <w:tc>
          <w:tcPr>
            <w:tcW w:w="1992" w:type="dxa"/>
            <w:vAlign w:val="center"/>
          </w:tcPr>
          <w:p w14:paraId="46B65129">
            <w:pPr>
              <w:jc w:val="center"/>
              <w:rPr>
                <w:rFonts w:cs="Times New Roman"/>
                <w:sz w:val="22"/>
              </w:rPr>
            </w:pPr>
            <w:r>
              <w:rPr>
                <w:rFonts w:cs="Times New Roman"/>
                <w:sz w:val="22"/>
              </w:rPr>
              <w:t>GRU</w:t>
            </w:r>
          </w:p>
        </w:tc>
        <w:tc>
          <w:tcPr>
            <w:tcW w:w="1487" w:type="dxa"/>
            <w:vAlign w:val="center"/>
          </w:tcPr>
          <w:p w14:paraId="5B5459C0">
            <w:pPr>
              <w:jc w:val="center"/>
              <w:rPr>
                <w:rFonts w:cs="Times New Roman"/>
                <w:sz w:val="22"/>
              </w:rPr>
            </w:pPr>
            <w:r>
              <w:rPr>
                <w:rFonts w:cs="Times New Roman"/>
                <w:sz w:val="22"/>
              </w:rPr>
              <w:t>2,9931</w:t>
            </w:r>
          </w:p>
        </w:tc>
        <w:tc>
          <w:tcPr>
            <w:tcW w:w="1303" w:type="dxa"/>
            <w:vAlign w:val="center"/>
          </w:tcPr>
          <w:p w14:paraId="4E03FC02">
            <w:pPr>
              <w:jc w:val="center"/>
              <w:rPr>
                <w:rFonts w:cs="Times New Roman"/>
                <w:sz w:val="22"/>
              </w:rPr>
            </w:pPr>
            <w:r>
              <w:rPr>
                <w:rFonts w:cs="Times New Roman"/>
                <w:sz w:val="22"/>
              </w:rPr>
              <w:t>7,8535</w:t>
            </w:r>
          </w:p>
        </w:tc>
        <w:tc>
          <w:tcPr>
            <w:tcW w:w="1300" w:type="dxa"/>
            <w:vAlign w:val="center"/>
          </w:tcPr>
          <w:p w14:paraId="09E7A9BA">
            <w:pPr>
              <w:jc w:val="center"/>
              <w:rPr>
                <w:rFonts w:cs="Times New Roman"/>
                <w:sz w:val="22"/>
              </w:rPr>
            </w:pPr>
            <w:r>
              <w:rPr>
                <w:rFonts w:cs="Times New Roman"/>
                <w:sz w:val="22"/>
              </w:rPr>
              <w:t>7,68e6</w:t>
            </w:r>
          </w:p>
        </w:tc>
      </w:tr>
      <w:tr w14:paraId="134F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64EFE9F">
            <w:pPr>
              <w:jc w:val="center"/>
              <w:rPr>
                <w:rFonts w:cs="Times New Roman"/>
                <w:sz w:val="22"/>
              </w:rPr>
            </w:pPr>
            <w:r>
              <w:rPr>
                <w:rFonts w:cs="Times New Roman"/>
                <w:sz w:val="22"/>
              </w:rPr>
              <w:t>2</w:t>
            </w:r>
          </w:p>
        </w:tc>
        <w:tc>
          <w:tcPr>
            <w:tcW w:w="1108" w:type="dxa"/>
            <w:vAlign w:val="center"/>
          </w:tcPr>
          <w:p w14:paraId="7F8B0881">
            <w:pPr>
              <w:jc w:val="center"/>
              <w:rPr>
                <w:rFonts w:cs="Times New Roman"/>
                <w:sz w:val="22"/>
              </w:rPr>
            </w:pPr>
            <w:r>
              <w:rPr>
                <w:rFonts w:cs="Times New Roman"/>
                <w:sz w:val="22"/>
              </w:rPr>
              <w:t>BO</w:t>
            </w:r>
          </w:p>
        </w:tc>
        <w:tc>
          <w:tcPr>
            <w:tcW w:w="1992" w:type="dxa"/>
            <w:vAlign w:val="center"/>
          </w:tcPr>
          <w:p w14:paraId="13D2288A">
            <w:pPr>
              <w:jc w:val="center"/>
              <w:rPr>
                <w:rFonts w:cs="Times New Roman"/>
                <w:i/>
                <w:sz w:val="22"/>
              </w:rPr>
            </w:pPr>
            <w:r>
              <w:rPr>
                <w:rFonts w:cs="Times New Roman"/>
                <w:i/>
                <w:sz w:val="22"/>
              </w:rPr>
              <w:t>Transformer Encoder-Only</w:t>
            </w:r>
          </w:p>
        </w:tc>
        <w:tc>
          <w:tcPr>
            <w:tcW w:w="1487" w:type="dxa"/>
            <w:vAlign w:val="center"/>
          </w:tcPr>
          <w:p w14:paraId="0069EA5D">
            <w:pPr>
              <w:jc w:val="center"/>
              <w:rPr>
                <w:rFonts w:cs="Times New Roman"/>
                <w:sz w:val="22"/>
              </w:rPr>
            </w:pPr>
            <w:r>
              <w:rPr>
                <w:rFonts w:cs="Times New Roman"/>
                <w:sz w:val="22"/>
              </w:rPr>
              <w:t>2,9934</w:t>
            </w:r>
          </w:p>
        </w:tc>
        <w:tc>
          <w:tcPr>
            <w:tcW w:w="1303" w:type="dxa"/>
            <w:vAlign w:val="center"/>
          </w:tcPr>
          <w:p w14:paraId="7A50960C">
            <w:pPr>
              <w:jc w:val="center"/>
              <w:rPr>
                <w:rFonts w:cs="Times New Roman"/>
                <w:sz w:val="22"/>
              </w:rPr>
            </w:pPr>
            <w:r>
              <w:rPr>
                <w:rFonts w:cs="Times New Roman"/>
                <w:sz w:val="22"/>
              </w:rPr>
              <w:t>7,8766</w:t>
            </w:r>
          </w:p>
        </w:tc>
        <w:tc>
          <w:tcPr>
            <w:tcW w:w="1300" w:type="dxa"/>
            <w:vAlign w:val="center"/>
          </w:tcPr>
          <w:p w14:paraId="00994745">
            <w:pPr>
              <w:jc w:val="center"/>
              <w:rPr>
                <w:rFonts w:cs="Times New Roman"/>
                <w:sz w:val="22"/>
              </w:rPr>
            </w:pPr>
            <w:r>
              <w:rPr>
                <w:rFonts w:cs="Times New Roman"/>
                <w:sz w:val="22"/>
              </w:rPr>
              <w:t>3,71e6</w:t>
            </w:r>
          </w:p>
        </w:tc>
      </w:tr>
      <w:tr w14:paraId="5B88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9BCFBC9">
            <w:pPr>
              <w:jc w:val="center"/>
              <w:rPr>
                <w:rFonts w:cs="Times New Roman"/>
                <w:sz w:val="22"/>
              </w:rPr>
            </w:pPr>
            <w:r>
              <w:rPr>
                <w:rFonts w:cs="Times New Roman"/>
                <w:sz w:val="22"/>
              </w:rPr>
              <w:t>3</w:t>
            </w:r>
          </w:p>
        </w:tc>
        <w:tc>
          <w:tcPr>
            <w:tcW w:w="1108" w:type="dxa"/>
            <w:vAlign w:val="center"/>
          </w:tcPr>
          <w:p w14:paraId="621447E3">
            <w:pPr>
              <w:jc w:val="center"/>
              <w:rPr>
                <w:rFonts w:cs="Times New Roman"/>
                <w:sz w:val="22"/>
              </w:rPr>
            </w:pPr>
            <w:r>
              <w:rPr>
                <w:rFonts w:cs="Times New Roman"/>
                <w:sz w:val="22"/>
              </w:rPr>
              <w:t>BO</w:t>
            </w:r>
          </w:p>
        </w:tc>
        <w:tc>
          <w:tcPr>
            <w:tcW w:w="1992" w:type="dxa"/>
            <w:vAlign w:val="center"/>
          </w:tcPr>
          <w:p w14:paraId="3F16CD6B">
            <w:pPr>
              <w:jc w:val="center"/>
              <w:rPr>
                <w:rFonts w:cs="Times New Roman"/>
                <w:sz w:val="22"/>
              </w:rPr>
            </w:pPr>
            <w:r>
              <w:rPr>
                <w:rFonts w:cs="Times New Roman"/>
                <w:sz w:val="22"/>
              </w:rPr>
              <w:t>GRU</w:t>
            </w:r>
          </w:p>
        </w:tc>
        <w:tc>
          <w:tcPr>
            <w:tcW w:w="1487" w:type="dxa"/>
            <w:vAlign w:val="center"/>
          </w:tcPr>
          <w:p w14:paraId="68D368AC">
            <w:pPr>
              <w:jc w:val="center"/>
              <w:rPr>
                <w:rFonts w:cs="Times New Roman"/>
                <w:sz w:val="22"/>
              </w:rPr>
            </w:pPr>
            <w:r>
              <w:rPr>
                <w:rFonts w:cs="Times New Roman"/>
                <w:sz w:val="22"/>
              </w:rPr>
              <w:t>2,9964</w:t>
            </w:r>
          </w:p>
        </w:tc>
        <w:tc>
          <w:tcPr>
            <w:tcW w:w="1303" w:type="dxa"/>
            <w:vAlign w:val="center"/>
          </w:tcPr>
          <w:p w14:paraId="1163706B">
            <w:pPr>
              <w:jc w:val="center"/>
              <w:rPr>
                <w:rFonts w:cs="Times New Roman"/>
                <w:sz w:val="22"/>
              </w:rPr>
            </w:pPr>
            <w:r>
              <w:rPr>
                <w:rFonts w:cs="Times New Roman"/>
                <w:sz w:val="22"/>
              </w:rPr>
              <w:t>7,8276</w:t>
            </w:r>
          </w:p>
        </w:tc>
        <w:tc>
          <w:tcPr>
            <w:tcW w:w="1300" w:type="dxa"/>
            <w:vAlign w:val="center"/>
          </w:tcPr>
          <w:p w14:paraId="2EDC7BDC">
            <w:pPr>
              <w:jc w:val="center"/>
              <w:rPr>
                <w:rFonts w:cs="Times New Roman"/>
                <w:sz w:val="22"/>
              </w:rPr>
            </w:pPr>
            <w:r>
              <w:rPr>
                <w:rFonts w:cs="Times New Roman"/>
                <w:sz w:val="22"/>
              </w:rPr>
              <w:t>5,26e6</w:t>
            </w:r>
          </w:p>
        </w:tc>
      </w:tr>
      <w:tr w14:paraId="756B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B39F31F">
            <w:pPr>
              <w:jc w:val="center"/>
              <w:rPr>
                <w:rFonts w:cs="Times New Roman"/>
                <w:sz w:val="22"/>
              </w:rPr>
            </w:pPr>
            <w:r>
              <w:rPr>
                <w:rFonts w:cs="Times New Roman"/>
                <w:sz w:val="22"/>
              </w:rPr>
              <w:t>4</w:t>
            </w:r>
          </w:p>
        </w:tc>
        <w:tc>
          <w:tcPr>
            <w:tcW w:w="1108" w:type="dxa"/>
            <w:vAlign w:val="center"/>
          </w:tcPr>
          <w:p w14:paraId="1930BB50">
            <w:pPr>
              <w:jc w:val="center"/>
              <w:rPr>
                <w:rFonts w:cs="Times New Roman"/>
                <w:sz w:val="22"/>
              </w:rPr>
            </w:pPr>
            <w:r>
              <w:rPr>
                <w:rFonts w:cs="Times New Roman"/>
                <w:sz w:val="22"/>
              </w:rPr>
              <w:t>BO</w:t>
            </w:r>
          </w:p>
        </w:tc>
        <w:tc>
          <w:tcPr>
            <w:tcW w:w="1992" w:type="dxa"/>
            <w:vAlign w:val="center"/>
          </w:tcPr>
          <w:p w14:paraId="7D8EB7BD">
            <w:pPr>
              <w:jc w:val="center"/>
              <w:rPr>
                <w:rFonts w:cs="Times New Roman"/>
                <w:sz w:val="22"/>
              </w:rPr>
            </w:pPr>
            <w:r>
              <w:rPr>
                <w:rFonts w:cs="Times New Roman"/>
                <w:sz w:val="22"/>
              </w:rPr>
              <w:t>BiLSTM</w:t>
            </w:r>
          </w:p>
        </w:tc>
        <w:tc>
          <w:tcPr>
            <w:tcW w:w="1487" w:type="dxa"/>
            <w:vAlign w:val="center"/>
          </w:tcPr>
          <w:p w14:paraId="672BB908">
            <w:pPr>
              <w:jc w:val="center"/>
              <w:rPr>
                <w:rFonts w:cs="Times New Roman"/>
                <w:sz w:val="22"/>
              </w:rPr>
            </w:pPr>
            <w:r>
              <w:rPr>
                <w:rFonts w:cs="Times New Roman"/>
                <w:sz w:val="22"/>
              </w:rPr>
              <w:t>3,0033</w:t>
            </w:r>
          </w:p>
        </w:tc>
        <w:tc>
          <w:tcPr>
            <w:tcW w:w="1303" w:type="dxa"/>
            <w:vAlign w:val="center"/>
          </w:tcPr>
          <w:p w14:paraId="13664CFD">
            <w:pPr>
              <w:jc w:val="center"/>
              <w:rPr>
                <w:rFonts w:cs="Times New Roman"/>
                <w:sz w:val="22"/>
              </w:rPr>
            </w:pPr>
            <w:r>
              <w:rPr>
                <w:rFonts w:cs="Times New Roman"/>
                <w:sz w:val="22"/>
              </w:rPr>
              <w:t>7,8196</w:t>
            </w:r>
          </w:p>
        </w:tc>
        <w:tc>
          <w:tcPr>
            <w:tcW w:w="1300" w:type="dxa"/>
            <w:vAlign w:val="center"/>
          </w:tcPr>
          <w:p w14:paraId="56A43AA9">
            <w:pPr>
              <w:jc w:val="center"/>
              <w:rPr>
                <w:rFonts w:cs="Times New Roman"/>
                <w:sz w:val="22"/>
              </w:rPr>
            </w:pPr>
            <w:r>
              <w:rPr>
                <w:rFonts w:cs="Times New Roman"/>
                <w:sz w:val="22"/>
              </w:rPr>
              <w:t>6,11e6</w:t>
            </w:r>
          </w:p>
        </w:tc>
      </w:tr>
      <w:tr w14:paraId="21BF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DADBABF">
            <w:pPr>
              <w:jc w:val="center"/>
              <w:rPr>
                <w:rFonts w:cs="Times New Roman"/>
                <w:sz w:val="22"/>
              </w:rPr>
            </w:pPr>
            <w:r>
              <w:rPr>
                <w:rFonts w:cs="Times New Roman"/>
                <w:sz w:val="22"/>
              </w:rPr>
              <w:t>5</w:t>
            </w:r>
          </w:p>
        </w:tc>
        <w:tc>
          <w:tcPr>
            <w:tcW w:w="1108" w:type="dxa"/>
            <w:vAlign w:val="center"/>
          </w:tcPr>
          <w:p w14:paraId="7CE20621">
            <w:pPr>
              <w:jc w:val="center"/>
              <w:rPr>
                <w:rFonts w:cs="Times New Roman"/>
                <w:sz w:val="22"/>
              </w:rPr>
            </w:pPr>
            <w:r>
              <w:rPr>
                <w:rFonts w:cs="Times New Roman"/>
                <w:sz w:val="22"/>
              </w:rPr>
              <w:t>BO</w:t>
            </w:r>
          </w:p>
        </w:tc>
        <w:tc>
          <w:tcPr>
            <w:tcW w:w="1992" w:type="dxa"/>
            <w:vAlign w:val="center"/>
          </w:tcPr>
          <w:p w14:paraId="06120A8A">
            <w:pPr>
              <w:jc w:val="center"/>
              <w:rPr>
                <w:rFonts w:cs="Times New Roman"/>
                <w:sz w:val="22"/>
              </w:rPr>
            </w:pPr>
            <w:r>
              <w:rPr>
                <w:rFonts w:cs="Times New Roman"/>
                <w:sz w:val="22"/>
              </w:rPr>
              <w:t>LSTM</w:t>
            </w:r>
          </w:p>
        </w:tc>
        <w:tc>
          <w:tcPr>
            <w:tcW w:w="1487" w:type="dxa"/>
            <w:vAlign w:val="center"/>
          </w:tcPr>
          <w:p w14:paraId="7D2B0EFF">
            <w:pPr>
              <w:jc w:val="center"/>
              <w:rPr>
                <w:rFonts w:cs="Times New Roman"/>
                <w:sz w:val="22"/>
              </w:rPr>
            </w:pPr>
            <w:r>
              <w:rPr>
                <w:rFonts w:cs="Times New Roman"/>
                <w:sz w:val="22"/>
              </w:rPr>
              <w:t>3,0048</w:t>
            </w:r>
          </w:p>
        </w:tc>
        <w:tc>
          <w:tcPr>
            <w:tcW w:w="1303" w:type="dxa"/>
            <w:vAlign w:val="center"/>
          </w:tcPr>
          <w:p w14:paraId="77EB35AF">
            <w:pPr>
              <w:jc w:val="center"/>
              <w:rPr>
                <w:rFonts w:cs="Times New Roman"/>
                <w:sz w:val="22"/>
              </w:rPr>
            </w:pPr>
            <w:r>
              <w:rPr>
                <w:rFonts w:cs="Times New Roman"/>
                <w:sz w:val="22"/>
              </w:rPr>
              <w:t>8,0115</w:t>
            </w:r>
          </w:p>
        </w:tc>
        <w:tc>
          <w:tcPr>
            <w:tcW w:w="1300" w:type="dxa"/>
            <w:vAlign w:val="center"/>
          </w:tcPr>
          <w:p w14:paraId="15776DE4">
            <w:pPr>
              <w:jc w:val="center"/>
              <w:rPr>
                <w:rFonts w:cs="Times New Roman"/>
                <w:sz w:val="22"/>
              </w:rPr>
            </w:pPr>
            <w:r>
              <w:rPr>
                <w:rFonts w:cs="Times New Roman"/>
                <w:sz w:val="22"/>
              </w:rPr>
              <w:t>1,94e6</w:t>
            </w:r>
          </w:p>
        </w:tc>
      </w:tr>
      <w:tr w14:paraId="729B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C7598CC">
            <w:pPr>
              <w:jc w:val="center"/>
              <w:rPr>
                <w:rFonts w:cs="Times New Roman"/>
                <w:sz w:val="22"/>
              </w:rPr>
            </w:pPr>
            <w:r>
              <w:rPr>
                <w:rFonts w:cs="Times New Roman"/>
                <w:sz w:val="22"/>
              </w:rPr>
              <w:t>6</w:t>
            </w:r>
          </w:p>
        </w:tc>
        <w:tc>
          <w:tcPr>
            <w:tcW w:w="1108" w:type="dxa"/>
            <w:vAlign w:val="center"/>
          </w:tcPr>
          <w:p w14:paraId="5673A080">
            <w:pPr>
              <w:jc w:val="center"/>
              <w:rPr>
                <w:rFonts w:cs="Times New Roman"/>
                <w:sz w:val="22"/>
              </w:rPr>
            </w:pPr>
            <w:r>
              <w:rPr>
                <w:rFonts w:cs="Times New Roman"/>
                <w:sz w:val="22"/>
              </w:rPr>
              <w:t>PSO</w:t>
            </w:r>
          </w:p>
        </w:tc>
        <w:tc>
          <w:tcPr>
            <w:tcW w:w="1992" w:type="dxa"/>
            <w:vAlign w:val="center"/>
          </w:tcPr>
          <w:p w14:paraId="2CE138E6">
            <w:pPr>
              <w:jc w:val="center"/>
              <w:rPr>
                <w:rFonts w:cs="Times New Roman"/>
                <w:sz w:val="22"/>
              </w:rPr>
            </w:pPr>
            <w:r>
              <w:rPr>
                <w:rFonts w:cs="Times New Roman"/>
                <w:sz w:val="22"/>
              </w:rPr>
              <w:t>GRU</w:t>
            </w:r>
          </w:p>
        </w:tc>
        <w:tc>
          <w:tcPr>
            <w:tcW w:w="1487" w:type="dxa"/>
            <w:vAlign w:val="center"/>
          </w:tcPr>
          <w:p w14:paraId="5750A6B2">
            <w:pPr>
              <w:jc w:val="center"/>
              <w:rPr>
                <w:rFonts w:cs="Times New Roman"/>
                <w:sz w:val="22"/>
              </w:rPr>
            </w:pPr>
            <w:r>
              <w:rPr>
                <w:rFonts w:cs="Times New Roman"/>
                <w:sz w:val="22"/>
              </w:rPr>
              <w:t>3,0068</w:t>
            </w:r>
          </w:p>
        </w:tc>
        <w:tc>
          <w:tcPr>
            <w:tcW w:w="1303" w:type="dxa"/>
            <w:vAlign w:val="center"/>
          </w:tcPr>
          <w:p w14:paraId="4C17DE05">
            <w:pPr>
              <w:jc w:val="center"/>
              <w:rPr>
                <w:rFonts w:cs="Times New Roman"/>
                <w:sz w:val="22"/>
              </w:rPr>
            </w:pPr>
            <w:r>
              <w:rPr>
                <w:rFonts w:cs="Times New Roman"/>
                <w:sz w:val="22"/>
              </w:rPr>
              <w:t>7,8238</w:t>
            </w:r>
          </w:p>
        </w:tc>
        <w:tc>
          <w:tcPr>
            <w:tcW w:w="1300" w:type="dxa"/>
            <w:vAlign w:val="center"/>
          </w:tcPr>
          <w:p w14:paraId="4AAD3A1C">
            <w:pPr>
              <w:jc w:val="center"/>
              <w:rPr>
                <w:rFonts w:cs="Times New Roman"/>
                <w:sz w:val="22"/>
              </w:rPr>
            </w:pPr>
            <w:r>
              <w:rPr>
                <w:rFonts w:cs="Times New Roman"/>
                <w:sz w:val="22"/>
              </w:rPr>
              <w:t>7,44e6</w:t>
            </w:r>
          </w:p>
        </w:tc>
      </w:tr>
      <w:tr w14:paraId="37EF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5D7F3DF">
            <w:pPr>
              <w:jc w:val="center"/>
              <w:rPr>
                <w:rFonts w:cs="Times New Roman"/>
                <w:sz w:val="22"/>
              </w:rPr>
            </w:pPr>
            <w:r>
              <w:rPr>
                <w:rFonts w:cs="Times New Roman"/>
                <w:sz w:val="22"/>
              </w:rPr>
              <w:t>7</w:t>
            </w:r>
          </w:p>
        </w:tc>
        <w:tc>
          <w:tcPr>
            <w:tcW w:w="1108" w:type="dxa"/>
            <w:vAlign w:val="center"/>
          </w:tcPr>
          <w:p w14:paraId="08B38AF5">
            <w:pPr>
              <w:jc w:val="center"/>
              <w:rPr>
                <w:rFonts w:cs="Times New Roman"/>
                <w:sz w:val="22"/>
              </w:rPr>
            </w:pPr>
            <w:r>
              <w:rPr>
                <w:rFonts w:cs="Times New Roman"/>
                <w:sz w:val="22"/>
              </w:rPr>
              <w:t>FPA</w:t>
            </w:r>
          </w:p>
        </w:tc>
        <w:tc>
          <w:tcPr>
            <w:tcW w:w="1992" w:type="dxa"/>
            <w:vAlign w:val="center"/>
          </w:tcPr>
          <w:p w14:paraId="6AE67D6B">
            <w:pPr>
              <w:jc w:val="center"/>
              <w:rPr>
                <w:rFonts w:cs="Times New Roman"/>
                <w:sz w:val="22"/>
              </w:rPr>
            </w:pPr>
            <w:r>
              <w:rPr>
                <w:rFonts w:cs="Times New Roman"/>
                <w:sz w:val="22"/>
              </w:rPr>
              <w:t>GRU</w:t>
            </w:r>
          </w:p>
        </w:tc>
        <w:tc>
          <w:tcPr>
            <w:tcW w:w="1487" w:type="dxa"/>
            <w:vAlign w:val="center"/>
          </w:tcPr>
          <w:p w14:paraId="2766565A">
            <w:pPr>
              <w:jc w:val="center"/>
              <w:rPr>
                <w:rFonts w:cs="Times New Roman"/>
                <w:sz w:val="22"/>
              </w:rPr>
            </w:pPr>
            <w:r>
              <w:rPr>
                <w:rFonts w:cs="Times New Roman"/>
                <w:sz w:val="22"/>
              </w:rPr>
              <w:t>3,0071</w:t>
            </w:r>
          </w:p>
        </w:tc>
        <w:tc>
          <w:tcPr>
            <w:tcW w:w="1303" w:type="dxa"/>
            <w:vAlign w:val="center"/>
          </w:tcPr>
          <w:p w14:paraId="1C0B8481">
            <w:pPr>
              <w:jc w:val="center"/>
              <w:rPr>
                <w:rFonts w:cs="Times New Roman"/>
                <w:sz w:val="22"/>
              </w:rPr>
            </w:pPr>
            <w:r>
              <w:rPr>
                <w:rFonts w:cs="Times New Roman"/>
                <w:sz w:val="22"/>
              </w:rPr>
              <w:t>7,8235</w:t>
            </w:r>
          </w:p>
        </w:tc>
        <w:tc>
          <w:tcPr>
            <w:tcW w:w="1300" w:type="dxa"/>
            <w:vAlign w:val="center"/>
          </w:tcPr>
          <w:p w14:paraId="00E6F91F">
            <w:pPr>
              <w:jc w:val="center"/>
              <w:rPr>
                <w:rFonts w:cs="Times New Roman"/>
                <w:sz w:val="22"/>
              </w:rPr>
            </w:pPr>
            <w:r>
              <w:rPr>
                <w:rFonts w:cs="Times New Roman"/>
                <w:sz w:val="22"/>
              </w:rPr>
              <w:t>7,44e6</w:t>
            </w:r>
          </w:p>
        </w:tc>
      </w:tr>
      <w:tr w14:paraId="54FB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5921EE4">
            <w:pPr>
              <w:jc w:val="center"/>
              <w:rPr>
                <w:rFonts w:cs="Times New Roman"/>
                <w:sz w:val="22"/>
              </w:rPr>
            </w:pPr>
            <w:r>
              <w:rPr>
                <w:rFonts w:cs="Times New Roman"/>
                <w:sz w:val="22"/>
              </w:rPr>
              <w:t>8</w:t>
            </w:r>
          </w:p>
        </w:tc>
        <w:tc>
          <w:tcPr>
            <w:tcW w:w="1108" w:type="dxa"/>
            <w:vAlign w:val="center"/>
          </w:tcPr>
          <w:p w14:paraId="51B7B40B">
            <w:pPr>
              <w:jc w:val="center"/>
              <w:rPr>
                <w:rFonts w:cs="Times New Roman"/>
                <w:sz w:val="22"/>
              </w:rPr>
            </w:pPr>
            <w:r>
              <w:rPr>
                <w:rFonts w:cs="Times New Roman"/>
                <w:sz w:val="22"/>
              </w:rPr>
              <w:t>IFPOA-X</w:t>
            </w:r>
          </w:p>
        </w:tc>
        <w:tc>
          <w:tcPr>
            <w:tcW w:w="1992" w:type="dxa"/>
            <w:vAlign w:val="center"/>
          </w:tcPr>
          <w:p w14:paraId="0F82F213">
            <w:pPr>
              <w:jc w:val="center"/>
              <w:rPr>
                <w:rFonts w:cs="Times New Roman"/>
                <w:sz w:val="22"/>
              </w:rPr>
            </w:pPr>
            <w:r>
              <w:rPr>
                <w:rFonts w:cs="Times New Roman"/>
                <w:sz w:val="22"/>
              </w:rPr>
              <w:t>LSTM</w:t>
            </w:r>
          </w:p>
        </w:tc>
        <w:tc>
          <w:tcPr>
            <w:tcW w:w="1487" w:type="dxa"/>
            <w:vAlign w:val="center"/>
          </w:tcPr>
          <w:p w14:paraId="2D8D81D8">
            <w:pPr>
              <w:jc w:val="center"/>
              <w:rPr>
                <w:rFonts w:cs="Times New Roman"/>
                <w:sz w:val="22"/>
              </w:rPr>
            </w:pPr>
            <w:r>
              <w:rPr>
                <w:rFonts w:cs="Times New Roman"/>
                <w:sz w:val="22"/>
              </w:rPr>
              <w:t>3,0213</w:t>
            </w:r>
          </w:p>
        </w:tc>
        <w:tc>
          <w:tcPr>
            <w:tcW w:w="1303" w:type="dxa"/>
            <w:vAlign w:val="center"/>
          </w:tcPr>
          <w:p w14:paraId="28BB0520">
            <w:pPr>
              <w:jc w:val="center"/>
              <w:rPr>
                <w:rFonts w:cs="Times New Roman"/>
                <w:sz w:val="22"/>
              </w:rPr>
            </w:pPr>
            <w:r>
              <w:rPr>
                <w:rFonts w:cs="Times New Roman"/>
                <w:sz w:val="22"/>
              </w:rPr>
              <w:t>7,9131</w:t>
            </w:r>
          </w:p>
        </w:tc>
        <w:tc>
          <w:tcPr>
            <w:tcW w:w="1300" w:type="dxa"/>
            <w:vAlign w:val="center"/>
          </w:tcPr>
          <w:p w14:paraId="29C0654F">
            <w:pPr>
              <w:jc w:val="center"/>
              <w:rPr>
                <w:rFonts w:cs="Times New Roman"/>
                <w:sz w:val="22"/>
              </w:rPr>
            </w:pPr>
            <w:r>
              <w:rPr>
                <w:rFonts w:cs="Times New Roman"/>
                <w:sz w:val="22"/>
              </w:rPr>
              <w:t>3,33e6</w:t>
            </w:r>
          </w:p>
        </w:tc>
      </w:tr>
      <w:tr w14:paraId="614F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633B258">
            <w:pPr>
              <w:jc w:val="center"/>
              <w:rPr>
                <w:rFonts w:cs="Times New Roman"/>
                <w:sz w:val="22"/>
              </w:rPr>
            </w:pPr>
            <w:r>
              <w:rPr>
                <w:rFonts w:cs="Times New Roman"/>
                <w:sz w:val="22"/>
              </w:rPr>
              <w:t>9</w:t>
            </w:r>
          </w:p>
        </w:tc>
        <w:tc>
          <w:tcPr>
            <w:tcW w:w="1108" w:type="dxa"/>
            <w:vAlign w:val="center"/>
          </w:tcPr>
          <w:p w14:paraId="484DC57E">
            <w:pPr>
              <w:jc w:val="center"/>
              <w:rPr>
                <w:rFonts w:cs="Times New Roman"/>
                <w:sz w:val="22"/>
              </w:rPr>
            </w:pPr>
            <w:r>
              <w:rPr>
                <w:rFonts w:cs="Times New Roman"/>
                <w:sz w:val="22"/>
              </w:rPr>
              <w:t>PSO</w:t>
            </w:r>
          </w:p>
        </w:tc>
        <w:tc>
          <w:tcPr>
            <w:tcW w:w="1992" w:type="dxa"/>
            <w:vAlign w:val="center"/>
          </w:tcPr>
          <w:p w14:paraId="6A9E3F59">
            <w:pPr>
              <w:jc w:val="center"/>
              <w:rPr>
                <w:rFonts w:cs="Times New Roman"/>
                <w:sz w:val="22"/>
              </w:rPr>
            </w:pPr>
            <w:r>
              <w:rPr>
                <w:rFonts w:cs="Times New Roman"/>
                <w:sz w:val="22"/>
              </w:rPr>
              <w:t>BiLSTM</w:t>
            </w:r>
          </w:p>
        </w:tc>
        <w:tc>
          <w:tcPr>
            <w:tcW w:w="1487" w:type="dxa"/>
            <w:vAlign w:val="center"/>
          </w:tcPr>
          <w:p w14:paraId="53F12B99">
            <w:pPr>
              <w:jc w:val="center"/>
              <w:rPr>
                <w:rFonts w:cs="Times New Roman"/>
                <w:sz w:val="22"/>
              </w:rPr>
            </w:pPr>
            <w:r>
              <w:rPr>
                <w:rFonts w:cs="Times New Roman"/>
                <w:sz w:val="22"/>
              </w:rPr>
              <w:t>3,0259</w:t>
            </w:r>
          </w:p>
        </w:tc>
        <w:tc>
          <w:tcPr>
            <w:tcW w:w="1303" w:type="dxa"/>
            <w:vAlign w:val="center"/>
          </w:tcPr>
          <w:p w14:paraId="6622667E">
            <w:pPr>
              <w:jc w:val="center"/>
              <w:rPr>
                <w:rFonts w:cs="Times New Roman"/>
                <w:sz w:val="22"/>
              </w:rPr>
            </w:pPr>
            <w:r>
              <w:rPr>
                <w:rFonts w:cs="Times New Roman"/>
                <w:sz w:val="22"/>
              </w:rPr>
              <w:t>7,9710</w:t>
            </w:r>
          </w:p>
        </w:tc>
        <w:tc>
          <w:tcPr>
            <w:tcW w:w="1300" w:type="dxa"/>
            <w:vAlign w:val="center"/>
          </w:tcPr>
          <w:p w14:paraId="50C2EEC7">
            <w:pPr>
              <w:jc w:val="center"/>
              <w:rPr>
                <w:rFonts w:cs="Times New Roman"/>
                <w:sz w:val="22"/>
              </w:rPr>
            </w:pPr>
            <w:r>
              <w:rPr>
                <w:rFonts w:cs="Times New Roman"/>
                <w:sz w:val="22"/>
              </w:rPr>
              <w:t>7,28e6</w:t>
            </w:r>
          </w:p>
        </w:tc>
      </w:tr>
      <w:tr w14:paraId="6362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32DEBEA">
            <w:pPr>
              <w:jc w:val="center"/>
              <w:rPr>
                <w:rFonts w:cs="Times New Roman"/>
                <w:sz w:val="22"/>
              </w:rPr>
            </w:pPr>
            <w:r>
              <w:rPr>
                <w:rFonts w:cs="Times New Roman"/>
                <w:sz w:val="22"/>
              </w:rPr>
              <w:t>10</w:t>
            </w:r>
          </w:p>
        </w:tc>
        <w:tc>
          <w:tcPr>
            <w:tcW w:w="1108" w:type="dxa"/>
            <w:vAlign w:val="center"/>
          </w:tcPr>
          <w:p w14:paraId="03C0383E">
            <w:pPr>
              <w:jc w:val="center"/>
              <w:rPr>
                <w:rFonts w:cs="Times New Roman"/>
                <w:sz w:val="22"/>
              </w:rPr>
            </w:pPr>
            <w:r>
              <w:rPr>
                <w:rFonts w:cs="Times New Roman"/>
                <w:sz w:val="22"/>
              </w:rPr>
              <w:t>IFPOA-X</w:t>
            </w:r>
          </w:p>
        </w:tc>
        <w:tc>
          <w:tcPr>
            <w:tcW w:w="1992" w:type="dxa"/>
            <w:vAlign w:val="center"/>
          </w:tcPr>
          <w:p w14:paraId="003A59E6">
            <w:pPr>
              <w:jc w:val="center"/>
              <w:rPr>
                <w:rFonts w:cs="Times New Roman"/>
                <w:sz w:val="22"/>
              </w:rPr>
            </w:pPr>
            <w:r>
              <w:rPr>
                <w:rFonts w:cs="Times New Roman"/>
                <w:sz w:val="22"/>
              </w:rPr>
              <w:t>BiLSTM</w:t>
            </w:r>
          </w:p>
        </w:tc>
        <w:tc>
          <w:tcPr>
            <w:tcW w:w="1487" w:type="dxa"/>
            <w:vAlign w:val="center"/>
          </w:tcPr>
          <w:p w14:paraId="599788F2">
            <w:pPr>
              <w:jc w:val="center"/>
              <w:rPr>
                <w:rFonts w:cs="Times New Roman"/>
                <w:sz w:val="22"/>
              </w:rPr>
            </w:pPr>
            <w:r>
              <w:rPr>
                <w:rFonts w:cs="Times New Roman"/>
                <w:sz w:val="22"/>
              </w:rPr>
              <w:t>3,0321</w:t>
            </w:r>
          </w:p>
        </w:tc>
        <w:tc>
          <w:tcPr>
            <w:tcW w:w="1303" w:type="dxa"/>
            <w:vAlign w:val="center"/>
          </w:tcPr>
          <w:p w14:paraId="256D9531">
            <w:pPr>
              <w:jc w:val="center"/>
              <w:rPr>
                <w:rFonts w:cs="Times New Roman"/>
                <w:sz w:val="22"/>
              </w:rPr>
            </w:pPr>
            <w:r>
              <w:rPr>
                <w:rFonts w:cs="Times New Roman"/>
                <w:sz w:val="22"/>
              </w:rPr>
              <w:t>7,9076</w:t>
            </w:r>
          </w:p>
        </w:tc>
        <w:tc>
          <w:tcPr>
            <w:tcW w:w="1300" w:type="dxa"/>
            <w:vAlign w:val="center"/>
          </w:tcPr>
          <w:p w14:paraId="78014287">
            <w:pPr>
              <w:jc w:val="center"/>
              <w:rPr>
                <w:rFonts w:cs="Times New Roman"/>
                <w:sz w:val="22"/>
              </w:rPr>
            </w:pPr>
            <w:r>
              <w:rPr>
                <w:rFonts w:cs="Times New Roman"/>
                <w:sz w:val="22"/>
              </w:rPr>
              <w:t>9,39e6</w:t>
            </w:r>
          </w:p>
        </w:tc>
      </w:tr>
      <w:tr w14:paraId="20B0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81A9539">
            <w:pPr>
              <w:jc w:val="center"/>
              <w:rPr>
                <w:rFonts w:cs="Times New Roman"/>
                <w:sz w:val="22"/>
              </w:rPr>
            </w:pPr>
            <w:r>
              <w:rPr>
                <w:rFonts w:cs="Times New Roman"/>
                <w:sz w:val="22"/>
              </w:rPr>
              <w:t>11</w:t>
            </w:r>
          </w:p>
        </w:tc>
        <w:tc>
          <w:tcPr>
            <w:tcW w:w="1108" w:type="dxa"/>
            <w:vAlign w:val="center"/>
          </w:tcPr>
          <w:p w14:paraId="3EDB7D14">
            <w:pPr>
              <w:jc w:val="center"/>
              <w:rPr>
                <w:rFonts w:cs="Times New Roman"/>
                <w:sz w:val="22"/>
              </w:rPr>
            </w:pPr>
            <w:r>
              <w:rPr>
                <w:rFonts w:cs="Times New Roman"/>
                <w:sz w:val="22"/>
              </w:rPr>
              <w:t>FPA</w:t>
            </w:r>
          </w:p>
        </w:tc>
        <w:tc>
          <w:tcPr>
            <w:tcW w:w="1992" w:type="dxa"/>
            <w:vAlign w:val="center"/>
          </w:tcPr>
          <w:p w14:paraId="055A4C26">
            <w:pPr>
              <w:jc w:val="center"/>
              <w:rPr>
                <w:rFonts w:cs="Times New Roman"/>
                <w:sz w:val="22"/>
              </w:rPr>
            </w:pPr>
            <w:r>
              <w:rPr>
                <w:rFonts w:cs="Times New Roman"/>
                <w:sz w:val="22"/>
              </w:rPr>
              <w:t>BiLSTM</w:t>
            </w:r>
          </w:p>
        </w:tc>
        <w:tc>
          <w:tcPr>
            <w:tcW w:w="1487" w:type="dxa"/>
            <w:vAlign w:val="center"/>
          </w:tcPr>
          <w:p w14:paraId="74280626">
            <w:pPr>
              <w:jc w:val="center"/>
              <w:rPr>
                <w:rFonts w:cs="Times New Roman"/>
                <w:sz w:val="22"/>
              </w:rPr>
            </w:pPr>
            <w:r>
              <w:rPr>
                <w:rFonts w:cs="Times New Roman"/>
                <w:sz w:val="22"/>
              </w:rPr>
              <w:t>3,0342</w:t>
            </w:r>
          </w:p>
        </w:tc>
        <w:tc>
          <w:tcPr>
            <w:tcW w:w="1303" w:type="dxa"/>
            <w:vAlign w:val="center"/>
          </w:tcPr>
          <w:p w14:paraId="3E80D06C">
            <w:pPr>
              <w:jc w:val="center"/>
              <w:rPr>
                <w:rFonts w:cs="Times New Roman"/>
                <w:sz w:val="22"/>
              </w:rPr>
            </w:pPr>
            <w:r>
              <w:rPr>
                <w:rFonts w:cs="Times New Roman"/>
                <w:sz w:val="22"/>
              </w:rPr>
              <w:t>7,8673</w:t>
            </w:r>
          </w:p>
        </w:tc>
        <w:tc>
          <w:tcPr>
            <w:tcW w:w="1300" w:type="dxa"/>
            <w:vAlign w:val="center"/>
          </w:tcPr>
          <w:p w14:paraId="6EC8995F">
            <w:pPr>
              <w:jc w:val="center"/>
              <w:rPr>
                <w:rFonts w:cs="Times New Roman"/>
                <w:sz w:val="22"/>
              </w:rPr>
            </w:pPr>
            <w:r>
              <w:rPr>
                <w:rFonts w:cs="Times New Roman"/>
                <w:sz w:val="22"/>
              </w:rPr>
              <w:t>7,98e6</w:t>
            </w:r>
          </w:p>
        </w:tc>
      </w:tr>
      <w:tr w14:paraId="3793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79E6B81">
            <w:pPr>
              <w:jc w:val="center"/>
              <w:rPr>
                <w:rFonts w:cs="Times New Roman"/>
                <w:sz w:val="22"/>
              </w:rPr>
            </w:pPr>
            <w:r>
              <w:rPr>
                <w:rFonts w:cs="Times New Roman"/>
                <w:sz w:val="22"/>
              </w:rPr>
              <w:t>12</w:t>
            </w:r>
          </w:p>
        </w:tc>
        <w:tc>
          <w:tcPr>
            <w:tcW w:w="1108" w:type="dxa"/>
            <w:vAlign w:val="center"/>
          </w:tcPr>
          <w:p w14:paraId="538F1186">
            <w:pPr>
              <w:jc w:val="center"/>
              <w:rPr>
                <w:rFonts w:cs="Times New Roman"/>
                <w:sz w:val="22"/>
              </w:rPr>
            </w:pPr>
            <w:r>
              <w:rPr>
                <w:rFonts w:cs="Times New Roman"/>
                <w:sz w:val="22"/>
              </w:rPr>
              <w:t>FPA</w:t>
            </w:r>
          </w:p>
        </w:tc>
        <w:tc>
          <w:tcPr>
            <w:tcW w:w="1992" w:type="dxa"/>
            <w:vAlign w:val="center"/>
          </w:tcPr>
          <w:p w14:paraId="32A01D78">
            <w:pPr>
              <w:jc w:val="center"/>
              <w:rPr>
                <w:rFonts w:cs="Times New Roman"/>
                <w:sz w:val="22"/>
              </w:rPr>
            </w:pPr>
            <w:r>
              <w:rPr>
                <w:rFonts w:cs="Times New Roman"/>
                <w:sz w:val="22"/>
              </w:rPr>
              <w:t>LSTM</w:t>
            </w:r>
          </w:p>
        </w:tc>
        <w:tc>
          <w:tcPr>
            <w:tcW w:w="1487" w:type="dxa"/>
            <w:vAlign w:val="center"/>
          </w:tcPr>
          <w:p w14:paraId="43974BA0">
            <w:pPr>
              <w:jc w:val="center"/>
              <w:rPr>
                <w:rFonts w:cs="Times New Roman"/>
                <w:sz w:val="22"/>
              </w:rPr>
            </w:pPr>
            <w:r>
              <w:rPr>
                <w:rFonts w:cs="Times New Roman"/>
                <w:sz w:val="22"/>
              </w:rPr>
              <w:t>3,0387</w:t>
            </w:r>
          </w:p>
        </w:tc>
        <w:tc>
          <w:tcPr>
            <w:tcW w:w="1303" w:type="dxa"/>
            <w:vAlign w:val="center"/>
          </w:tcPr>
          <w:p w14:paraId="1E3D1A76">
            <w:pPr>
              <w:jc w:val="center"/>
              <w:rPr>
                <w:rFonts w:cs="Times New Roman"/>
                <w:sz w:val="22"/>
              </w:rPr>
            </w:pPr>
            <w:r>
              <w:rPr>
                <w:rFonts w:cs="Times New Roman"/>
                <w:sz w:val="22"/>
              </w:rPr>
              <w:t>7,9465</w:t>
            </w:r>
          </w:p>
        </w:tc>
        <w:tc>
          <w:tcPr>
            <w:tcW w:w="1300" w:type="dxa"/>
            <w:vAlign w:val="center"/>
          </w:tcPr>
          <w:p w14:paraId="292CD279">
            <w:pPr>
              <w:jc w:val="center"/>
              <w:rPr>
                <w:rFonts w:cs="Times New Roman"/>
                <w:sz w:val="22"/>
              </w:rPr>
            </w:pPr>
            <w:r>
              <w:rPr>
                <w:rFonts w:cs="Times New Roman"/>
                <w:sz w:val="22"/>
              </w:rPr>
              <w:t>6,30e6</w:t>
            </w:r>
          </w:p>
        </w:tc>
      </w:tr>
      <w:tr w14:paraId="4684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393E6B4">
            <w:pPr>
              <w:jc w:val="center"/>
              <w:rPr>
                <w:rFonts w:cs="Times New Roman"/>
                <w:sz w:val="22"/>
              </w:rPr>
            </w:pPr>
            <w:r>
              <w:rPr>
                <w:rFonts w:cs="Times New Roman"/>
                <w:sz w:val="22"/>
              </w:rPr>
              <w:t>13</w:t>
            </w:r>
          </w:p>
        </w:tc>
        <w:tc>
          <w:tcPr>
            <w:tcW w:w="1108" w:type="dxa"/>
            <w:vAlign w:val="center"/>
          </w:tcPr>
          <w:p w14:paraId="7C064C3F">
            <w:pPr>
              <w:jc w:val="center"/>
              <w:rPr>
                <w:rFonts w:cs="Times New Roman"/>
                <w:sz w:val="22"/>
              </w:rPr>
            </w:pPr>
            <w:r>
              <w:rPr>
                <w:rFonts w:cs="Times New Roman"/>
                <w:sz w:val="22"/>
              </w:rPr>
              <w:t>IFPOA-X</w:t>
            </w:r>
          </w:p>
        </w:tc>
        <w:tc>
          <w:tcPr>
            <w:tcW w:w="1992" w:type="dxa"/>
            <w:vAlign w:val="center"/>
          </w:tcPr>
          <w:p w14:paraId="18A80A52">
            <w:pPr>
              <w:jc w:val="center"/>
              <w:rPr>
                <w:rFonts w:cs="Times New Roman"/>
                <w:i/>
                <w:sz w:val="22"/>
              </w:rPr>
            </w:pPr>
            <w:r>
              <w:rPr>
                <w:rFonts w:cs="Times New Roman"/>
                <w:i/>
                <w:sz w:val="22"/>
              </w:rPr>
              <w:t>Transformer Encoder-Only</w:t>
            </w:r>
          </w:p>
        </w:tc>
        <w:tc>
          <w:tcPr>
            <w:tcW w:w="1487" w:type="dxa"/>
            <w:vAlign w:val="center"/>
          </w:tcPr>
          <w:p w14:paraId="01A0A1F7">
            <w:pPr>
              <w:jc w:val="center"/>
              <w:rPr>
                <w:rFonts w:cs="Times New Roman"/>
                <w:sz w:val="22"/>
              </w:rPr>
            </w:pPr>
            <w:r>
              <w:rPr>
                <w:rFonts w:cs="Times New Roman"/>
                <w:sz w:val="22"/>
              </w:rPr>
              <w:t>3,0401</w:t>
            </w:r>
          </w:p>
        </w:tc>
        <w:tc>
          <w:tcPr>
            <w:tcW w:w="1303" w:type="dxa"/>
            <w:vAlign w:val="center"/>
          </w:tcPr>
          <w:p w14:paraId="0A7240B9">
            <w:pPr>
              <w:jc w:val="center"/>
              <w:rPr>
                <w:rFonts w:cs="Times New Roman"/>
                <w:sz w:val="22"/>
              </w:rPr>
            </w:pPr>
            <w:r>
              <w:rPr>
                <w:rFonts w:cs="Times New Roman"/>
                <w:sz w:val="22"/>
              </w:rPr>
              <w:t>7,8880</w:t>
            </w:r>
          </w:p>
        </w:tc>
        <w:tc>
          <w:tcPr>
            <w:tcW w:w="1300" w:type="dxa"/>
            <w:vAlign w:val="center"/>
          </w:tcPr>
          <w:p w14:paraId="5C29B154">
            <w:pPr>
              <w:jc w:val="center"/>
              <w:rPr>
                <w:rFonts w:cs="Times New Roman"/>
                <w:sz w:val="22"/>
              </w:rPr>
            </w:pPr>
            <w:r>
              <w:rPr>
                <w:rFonts w:cs="Times New Roman"/>
                <w:sz w:val="22"/>
              </w:rPr>
              <w:t>3,71e6</w:t>
            </w:r>
          </w:p>
        </w:tc>
      </w:tr>
      <w:tr w14:paraId="3947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F62369B">
            <w:pPr>
              <w:jc w:val="center"/>
              <w:rPr>
                <w:rFonts w:cs="Times New Roman"/>
                <w:sz w:val="22"/>
              </w:rPr>
            </w:pPr>
            <w:r>
              <w:rPr>
                <w:rFonts w:cs="Times New Roman"/>
                <w:sz w:val="22"/>
              </w:rPr>
              <w:t>14</w:t>
            </w:r>
          </w:p>
        </w:tc>
        <w:tc>
          <w:tcPr>
            <w:tcW w:w="1108" w:type="dxa"/>
            <w:vAlign w:val="center"/>
          </w:tcPr>
          <w:p w14:paraId="25D5CDDF">
            <w:pPr>
              <w:jc w:val="center"/>
              <w:rPr>
                <w:rFonts w:cs="Times New Roman"/>
                <w:sz w:val="22"/>
              </w:rPr>
            </w:pPr>
            <w:r>
              <w:rPr>
                <w:rFonts w:cs="Times New Roman"/>
                <w:sz w:val="22"/>
              </w:rPr>
              <w:t>PSO</w:t>
            </w:r>
          </w:p>
        </w:tc>
        <w:tc>
          <w:tcPr>
            <w:tcW w:w="1992" w:type="dxa"/>
            <w:vAlign w:val="center"/>
          </w:tcPr>
          <w:p w14:paraId="1647BDB4">
            <w:pPr>
              <w:jc w:val="center"/>
              <w:rPr>
                <w:rFonts w:cs="Times New Roman"/>
                <w:sz w:val="22"/>
              </w:rPr>
            </w:pPr>
            <w:r>
              <w:rPr>
                <w:rFonts w:cs="Times New Roman"/>
                <w:sz w:val="22"/>
              </w:rPr>
              <w:t>LSTM</w:t>
            </w:r>
          </w:p>
        </w:tc>
        <w:tc>
          <w:tcPr>
            <w:tcW w:w="1487" w:type="dxa"/>
            <w:vAlign w:val="center"/>
          </w:tcPr>
          <w:p w14:paraId="59456620">
            <w:pPr>
              <w:jc w:val="center"/>
              <w:rPr>
                <w:rFonts w:cs="Times New Roman"/>
                <w:sz w:val="22"/>
              </w:rPr>
            </w:pPr>
            <w:r>
              <w:rPr>
                <w:rFonts w:cs="Times New Roman"/>
                <w:sz w:val="22"/>
              </w:rPr>
              <w:t>3,0478</w:t>
            </w:r>
          </w:p>
        </w:tc>
        <w:tc>
          <w:tcPr>
            <w:tcW w:w="1303" w:type="dxa"/>
            <w:vAlign w:val="center"/>
          </w:tcPr>
          <w:p w14:paraId="566BBB41">
            <w:pPr>
              <w:jc w:val="center"/>
              <w:rPr>
                <w:rFonts w:cs="Times New Roman"/>
                <w:sz w:val="22"/>
              </w:rPr>
            </w:pPr>
            <w:r>
              <w:rPr>
                <w:rFonts w:cs="Times New Roman"/>
                <w:sz w:val="22"/>
              </w:rPr>
              <w:t>8,0033</w:t>
            </w:r>
          </w:p>
        </w:tc>
        <w:tc>
          <w:tcPr>
            <w:tcW w:w="1300" w:type="dxa"/>
            <w:vAlign w:val="center"/>
          </w:tcPr>
          <w:p w14:paraId="7DFBA073">
            <w:pPr>
              <w:jc w:val="center"/>
              <w:rPr>
                <w:rFonts w:cs="Times New Roman"/>
                <w:sz w:val="22"/>
              </w:rPr>
            </w:pPr>
            <w:r>
              <w:rPr>
                <w:rFonts w:cs="Times New Roman"/>
                <w:sz w:val="22"/>
              </w:rPr>
              <w:t>4,32e6</w:t>
            </w:r>
          </w:p>
        </w:tc>
      </w:tr>
      <w:tr w14:paraId="69FB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0924A17">
            <w:pPr>
              <w:jc w:val="center"/>
              <w:rPr>
                <w:rFonts w:cs="Times New Roman"/>
                <w:sz w:val="22"/>
              </w:rPr>
            </w:pPr>
            <w:r>
              <w:rPr>
                <w:rFonts w:cs="Times New Roman"/>
                <w:sz w:val="22"/>
              </w:rPr>
              <w:t>15</w:t>
            </w:r>
          </w:p>
        </w:tc>
        <w:tc>
          <w:tcPr>
            <w:tcW w:w="1108" w:type="dxa"/>
            <w:vAlign w:val="center"/>
          </w:tcPr>
          <w:p w14:paraId="0731121A">
            <w:pPr>
              <w:jc w:val="center"/>
              <w:rPr>
                <w:rFonts w:cs="Times New Roman"/>
                <w:sz w:val="22"/>
              </w:rPr>
            </w:pPr>
            <w:r>
              <w:rPr>
                <w:rFonts w:cs="Times New Roman"/>
                <w:sz w:val="22"/>
              </w:rPr>
              <w:t>BO</w:t>
            </w:r>
          </w:p>
        </w:tc>
        <w:tc>
          <w:tcPr>
            <w:tcW w:w="1992" w:type="dxa"/>
            <w:vAlign w:val="center"/>
          </w:tcPr>
          <w:p w14:paraId="00901657">
            <w:pPr>
              <w:jc w:val="center"/>
              <w:rPr>
                <w:rFonts w:cs="Times New Roman"/>
                <w:i/>
                <w:sz w:val="22"/>
                <w:lang w:val="en-US"/>
              </w:rPr>
            </w:pPr>
            <w:r>
              <w:rPr>
                <w:rFonts w:cs="Times New Roman"/>
                <w:i/>
                <w:sz w:val="22"/>
              </w:rPr>
              <w:t xml:space="preserve">Transformer </w:t>
            </w:r>
            <w:r>
              <w:rPr>
                <w:rFonts w:cs="Times New Roman"/>
                <w:i/>
                <w:sz w:val="22"/>
                <w:lang w:val="en-US"/>
              </w:rPr>
              <w:t>Full</w:t>
            </w:r>
          </w:p>
        </w:tc>
        <w:tc>
          <w:tcPr>
            <w:tcW w:w="1487" w:type="dxa"/>
            <w:vAlign w:val="center"/>
          </w:tcPr>
          <w:p w14:paraId="32B5AAA3">
            <w:pPr>
              <w:jc w:val="center"/>
              <w:rPr>
                <w:rFonts w:cs="Times New Roman"/>
                <w:sz w:val="22"/>
              </w:rPr>
            </w:pPr>
            <w:r>
              <w:rPr>
                <w:rFonts w:cs="Times New Roman"/>
                <w:sz w:val="22"/>
              </w:rPr>
              <w:t>3,0479</w:t>
            </w:r>
          </w:p>
        </w:tc>
        <w:tc>
          <w:tcPr>
            <w:tcW w:w="1303" w:type="dxa"/>
            <w:vAlign w:val="center"/>
          </w:tcPr>
          <w:p w14:paraId="7E5FF2AF">
            <w:pPr>
              <w:jc w:val="center"/>
              <w:rPr>
                <w:rFonts w:cs="Times New Roman"/>
                <w:sz w:val="22"/>
              </w:rPr>
            </w:pPr>
            <w:r>
              <w:rPr>
                <w:rFonts w:cs="Times New Roman"/>
                <w:sz w:val="22"/>
              </w:rPr>
              <w:t>7,9677</w:t>
            </w:r>
          </w:p>
        </w:tc>
        <w:tc>
          <w:tcPr>
            <w:tcW w:w="1300" w:type="dxa"/>
            <w:vAlign w:val="center"/>
          </w:tcPr>
          <w:p w14:paraId="41EE31DD">
            <w:pPr>
              <w:jc w:val="center"/>
              <w:rPr>
                <w:rFonts w:cs="Times New Roman"/>
                <w:sz w:val="22"/>
              </w:rPr>
            </w:pPr>
            <w:r>
              <w:rPr>
                <w:rFonts w:cs="Times New Roman"/>
                <w:sz w:val="22"/>
              </w:rPr>
              <w:t>2,45e7</w:t>
            </w:r>
          </w:p>
        </w:tc>
      </w:tr>
      <w:tr w14:paraId="1217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A6A326F">
            <w:pPr>
              <w:jc w:val="center"/>
              <w:rPr>
                <w:rFonts w:cs="Times New Roman"/>
                <w:sz w:val="22"/>
              </w:rPr>
            </w:pPr>
            <w:r>
              <w:rPr>
                <w:rFonts w:cs="Times New Roman"/>
                <w:sz w:val="22"/>
              </w:rPr>
              <w:t>16</w:t>
            </w:r>
          </w:p>
        </w:tc>
        <w:tc>
          <w:tcPr>
            <w:tcW w:w="1108" w:type="dxa"/>
            <w:vAlign w:val="center"/>
          </w:tcPr>
          <w:p w14:paraId="571DB67F">
            <w:pPr>
              <w:jc w:val="center"/>
              <w:rPr>
                <w:rFonts w:cs="Times New Roman"/>
                <w:sz w:val="22"/>
              </w:rPr>
            </w:pPr>
            <w:r>
              <w:rPr>
                <w:rFonts w:cs="Times New Roman"/>
                <w:sz w:val="22"/>
              </w:rPr>
              <w:t>IFPOA-X</w:t>
            </w:r>
          </w:p>
        </w:tc>
        <w:tc>
          <w:tcPr>
            <w:tcW w:w="1992" w:type="dxa"/>
            <w:vAlign w:val="center"/>
          </w:tcPr>
          <w:p w14:paraId="29EF0ED0">
            <w:pPr>
              <w:jc w:val="center"/>
              <w:rPr>
                <w:rFonts w:cs="Times New Roman"/>
                <w:i/>
                <w:sz w:val="22"/>
                <w:lang w:val="en-US"/>
              </w:rPr>
            </w:pPr>
            <w:r>
              <w:rPr>
                <w:rFonts w:cs="Times New Roman"/>
                <w:i/>
                <w:sz w:val="22"/>
              </w:rPr>
              <w:t xml:space="preserve">Transformer </w:t>
            </w:r>
            <w:r>
              <w:rPr>
                <w:rFonts w:cs="Times New Roman"/>
                <w:i/>
                <w:sz w:val="22"/>
                <w:lang w:val="en-US"/>
              </w:rPr>
              <w:t>Full</w:t>
            </w:r>
          </w:p>
        </w:tc>
        <w:tc>
          <w:tcPr>
            <w:tcW w:w="1487" w:type="dxa"/>
            <w:vAlign w:val="center"/>
          </w:tcPr>
          <w:p w14:paraId="531811E3">
            <w:pPr>
              <w:jc w:val="center"/>
              <w:rPr>
                <w:rFonts w:cs="Times New Roman"/>
                <w:sz w:val="22"/>
              </w:rPr>
            </w:pPr>
            <w:r>
              <w:rPr>
                <w:rFonts w:cs="Times New Roman"/>
                <w:sz w:val="22"/>
              </w:rPr>
              <w:t>3,1153</w:t>
            </w:r>
          </w:p>
        </w:tc>
        <w:tc>
          <w:tcPr>
            <w:tcW w:w="1303" w:type="dxa"/>
            <w:vAlign w:val="center"/>
          </w:tcPr>
          <w:p w14:paraId="5D730083">
            <w:pPr>
              <w:jc w:val="center"/>
              <w:rPr>
                <w:rFonts w:cs="Times New Roman"/>
                <w:sz w:val="22"/>
              </w:rPr>
            </w:pPr>
            <w:r>
              <w:rPr>
                <w:rFonts w:cs="Times New Roman"/>
                <w:sz w:val="22"/>
              </w:rPr>
              <w:t>8,2699</w:t>
            </w:r>
          </w:p>
        </w:tc>
        <w:tc>
          <w:tcPr>
            <w:tcW w:w="1300" w:type="dxa"/>
            <w:vAlign w:val="center"/>
          </w:tcPr>
          <w:p w14:paraId="1FE793A2">
            <w:pPr>
              <w:jc w:val="center"/>
              <w:rPr>
                <w:rFonts w:cs="Times New Roman"/>
                <w:sz w:val="22"/>
              </w:rPr>
            </w:pPr>
            <w:r>
              <w:rPr>
                <w:rFonts w:cs="Times New Roman"/>
                <w:sz w:val="22"/>
              </w:rPr>
              <w:t>1,73e7</w:t>
            </w:r>
          </w:p>
        </w:tc>
      </w:tr>
      <w:tr w14:paraId="4738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89E46ED">
            <w:pPr>
              <w:jc w:val="center"/>
              <w:rPr>
                <w:rFonts w:cs="Times New Roman"/>
                <w:sz w:val="22"/>
              </w:rPr>
            </w:pPr>
            <w:r>
              <w:rPr>
                <w:rFonts w:cs="Times New Roman"/>
                <w:sz w:val="22"/>
              </w:rPr>
              <w:t>17</w:t>
            </w:r>
          </w:p>
        </w:tc>
        <w:tc>
          <w:tcPr>
            <w:tcW w:w="1108" w:type="dxa"/>
            <w:vAlign w:val="center"/>
          </w:tcPr>
          <w:p w14:paraId="5B13C63E">
            <w:pPr>
              <w:jc w:val="center"/>
              <w:rPr>
                <w:rFonts w:cs="Times New Roman"/>
                <w:sz w:val="22"/>
              </w:rPr>
            </w:pPr>
            <w:r>
              <w:rPr>
                <w:rFonts w:cs="Times New Roman"/>
                <w:sz w:val="22"/>
              </w:rPr>
              <w:t>FPA</w:t>
            </w:r>
          </w:p>
        </w:tc>
        <w:tc>
          <w:tcPr>
            <w:tcW w:w="1992" w:type="dxa"/>
            <w:vAlign w:val="center"/>
          </w:tcPr>
          <w:p w14:paraId="20A911B1">
            <w:pPr>
              <w:jc w:val="center"/>
              <w:rPr>
                <w:rFonts w:cs="Times New Roman"/>
                <w:i/>
                <w:sz w:val="22"/>
              </w:rPr>
            </w:pPr>
            <w:r>
              <w:rPr>
                <w:rFonts w:cs="Times New Roman"/>
                <w:i/>
                <w:sz w:val="22"/>
              </w:rPr>
              <w:t>Transformer Encoder-Only</w:t>
            </w:r>
          </w:p>
        </w:tc>
        <w:tc>
          <w:tcPr>
            <w:tcW w:w="1487" w:type="dxa"/>
            <w:vAlign w:val="center"/>
          </w:tcPr>
          <w:p w14:paraId="11186CA0">
            <w:pPr>
              <w:jc w:val="center"/>
              <w:rPr>
                <w:rFonts w:cs="Times New Roman"/>
                <w:sz w:val="22"/>
              </w:rPr>
            </w:pPr>
            <w:r>
              <w:rPr>
                <w:rFonts w:cs="Times New Roman"/>
                <w:sz w:val="22"/>
              </w:rPr>
              <w:t>3,1545</w:t>
            </w:r>
          </w:p>
        </w:tc>
        <w:tc>
          <w:tcPr>
            <w:tcW w:w="1303" w:type="dxa"/>
            <w:vAlign w:val="center"/>
          </w:tcPr>
          <w:p w14:paraId="710BE7E0">
            <w:pPr>
              <w:jc w:val="center"/>
              <w:rPr>
                <w:rFonts w:cs="Times New Roman"/>
                <w:sz w:val="22"/>
              </w:rPr>
            </w:pPr>
            <w:r>
              <w:rPr>
                <w:rFonts w:cs="Times New Roman"/>
                <w:sz w:val="22"/>
              </w:rPr>
              <w:t>7,9424</w:t>
            </w:r>
          </w:p>
        </w:tc>
        <w:tc>
          <w:tcPr>
            <w:tcW w:w="1300" w:type="dxa"/>
            <w:vAlign w:val="center"/>
          </w:tcPr>
          <w:p w14:paraId="70CB6D97">
            <w:pPr>
              <w:jc w:val="center"/>
              <w:rPr>
                <w:rFonts w:cs="Times New Roman"/>
                <w:sz w:val="22"/>
              </w:rPr>
            </w:pPr>
            <w:r>
              <w:rPr>
                <w:rFonts w:cs="Times New Roman"/>
                <w:sz w:val="22"/>
              </w:rPr>
              <w:t>9,85e7</w:t>
            </w:r>
          </w:p>
        </w:tc>
      </w:tr>
      <w:tr w14:paraId="0B72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FFEC6E4">
            <w:pPr>
              <w:jc w:val="center"/>
              <w:rPr>
                <w:rFonts w:cs="Times New Roman"/>
                <w:sz w:val="22"/>
              </w:rPr>
            </w:pPr>
            <w:r>
              <w:rPr>
                <w:rFonts w:cs="Times New Roman"/>
                <w:sz w:val="22"/>
              </w:rPr>
              <w:t>18</w:t>
            </w:r>
          </w:p>
        </w:tc>
        <w:tc>
          <w:tcPr>
            <w:tcW w:w="1108" w:type="dxa"/>
            <w:vAlign w:val="center"/>
          </w:tcPr>
          <w:p w14:paraId="7C20EBB2">
            <w:pPr>
              <w:jc w:val="center"/>
              <w:rPr>
                <w:rFonts w:cs="Times New Roman"/>
                <w:sz w:val="22"/>
              </w:rPr>
            </w:pPr>
            <w:r>
              <w:rPr>
                <w:rFonts w:cs="Times New Roman"/>
                <w:sz w:val="22"/>
              </w:rPr>
              <w:t>PSO</w:t>
            </w:r>
          </w:p>
        </w:tc>
        <w:tc>
          <w:tcPr>
            <w:tcW w:w="1992" w:type="dxa"/>
            <w:vAlign w:val="center"/>
          </w:tcPr>
          <w:p w14:paraId="15FF07D3">
            <w:pPr>
              <w:jc w:val="center"/>
              <w:rPr>
                <w:rFonts w:cs="Times New Roman"/>
                <w:i/>
                <w:sz w:val="22"/>
              </w:rPr>
            </w:pPr>
            <w:r>
              <w:rPr>
                <w:rFonts w:cs="Times New Roman"/>
                <w:i/>
                <w:sz w:val="22"/>
              </w:rPr>
              <w:t>Transformer Encoder-Only</w:t>
            </w:r>
          </w:p>
        </w:tc>
        <w:tc>
          <w:tcPr>
            <w:tcW w:w="1487" w:type="dxa"/>
            <w:vAlign w:val="center"/>
          </w:tcPr>
          <w:p w14:paraId="73DBDC60">
            <w:pPr>
              <w:jc w:val="center"/>
              <w:rPr>
                <w:rFonts w:cs="Times New Roman"/>
                <w:sz w:val="22"/>
              </w:rPr>
            </w:pPr>
            <w:r>
              <w:rPr>
                <w:rFonts w:cs="Times New Roman"/>
                <w:sz w:val="22"/>
              </w:rPr>
              <w:t>3,1545</w:t>
            </w:r>
          </w:p>
        </w:tc>
        <w:tc>
          <w:tcPr>
            <w:tcW w:w="1303" w:type="dxa"/>
            <w:vAlign w:val="center"/>
          </w:tcPr>
          <w:p w14:paraId="54A24DF4">
            <w:pPr>
              <w:jc w:val="center"/>
              <w:rPr>
                <w:rFonts w:cs="Times New Roman"/>
                <w:sz w:val="22"/>
              </w:rPr>
            </w:pPr>
            <w:r>
              <w:rPr>
                <w:rFonts w:cs="Times New Roman"/>
                <w:sz w:val="22"/>
              </w:rPr>
              <w:t>7,9424</w:t>
            </w:r>
          </w:p>
        </w:tc>
        <w:tc>
          <w:tcPr>
            <w:tcW w:w="1300" w:type="dxa"/>
            <w:vAlign w:val="center"/>
          </w:tcPr>
          <w:p w14:paraId="719565E0">
            <w:pPr>
              <w:jc w:val="center"/>
              <w:rPr>
                <w:rFonts w:cs="Times New Roman"/>
                <w:sz w:val="22"/>
              </w:rPr>
            </w:pPr>
            <w:r>
              <w:rPr>
                <w:rFonts w:cs="Times New Roman"/>
                <w:sz w:val="22"/>
              </w:rPr>
              <w:t>9,85e7</w:t>
            </w:r>
          </w:p>
        </w:tc>
      </w:tr>
      <w:tr w14:paraId="68C3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723B41A">
            <w:pPr>
              <w:jc w:val="center"/>
              <w:rPr>
                <w:rFonts w:cs="Times New Roman"/>
                <w:sz w:val="22"/>
              </w:rPr>
            </w:pPr>
            <w:r>
              <w:rPr>
                <w:rFonts w:cs="Times New Roman"/>
                <w:sz w:val="22"/>
              </w:rPr>
              <w:t>19</w:t>
            </w:r>
          </w:p>
        </w:tc>
        <w:tc>
          <w:tcPr>
            <w:tcW w:w="1108" w:type="dxa"/>
            <w:vAlign w:val="center"/>
          </w:tcPr>
          <w:p w14:paraId="6FC10B3B">
            <w:pPr>
              <w:jc w:val="center"/>
              <w:rPr>
                <w:rFonts w:cs="Times New Roman"/>
                <w:sz w:val="22"/>
              </w:rPr>
            </w:pPr>
            <w:r>
              <w:rPr>
                <w:rFonts w:cs="Times New Roman"/>
                <w:sz w:val="22"/>
              </w:rPr>
              <w:t>FPA</w:t>
            </w:r>
          </w:p>
        </w:tc>
        <w:tc>
          <w:tcPr>
            <w:tcW w:w="1992" w:type="dxa"/>
            <w:vAlign w:val="center"/>
          </w:tcPr>
          <w:p w14:paraId="5BD8C2B4">
            <w:pPr>
              <w:jc w:val="center"/>
              <w:rPr>
                <w:rFonts w:cs="Times New Roman"/>
                <w:i/>
                <w:sz w:val="22"/>
                <w:lang w:val="en-US"/>
              </w:rPr>
            </w:pPr>
            <w:r>
              <w:rPr>
                <w:rFonts w:cs="Times New Roman"/>
                <w:i/>
                <w:sz w:val="22"/>
              </w:rPr>
              <w:t xml:space="preserve">Transformer </w:t>
            </w:r>
            <w:r>
              <w:rPr>
                <w:rFonts w:cs="Times New Roman"/>
                <w:i/>
                <w:sz w:val="22"/>
                <w:lang w:val="en-US"/>
              </w:rPr>
              <w:t>Full</w:t>
            </w:r>
          </w:p>
        </w:tc>
        <w:tc>
          <w:tcPr>
            <w:tcW w:w="1487" w:type="dxa"/>
            <w:vAlign w:val="center"/>
          </w:tcPr>
          <w:p w14:paraId="25B25F5D">
            <w:pPr>
              <w:jc w:val="center"/>
              <w:rPr>
                <w:rFonts w:cs="Times New Roman"/>
                <w:sz w:val="22"/>
              </w:rPr>
            </w:pPr>
            <w:r>
              <w:rPr>
                <w:rFonts w:cs="Times New Roman"/>
                <w:sz w:val="22"/>
              </w:rPr>
              <w:t>3,4627</w:t>
            </w:r>
          </w:p>
        </w:tc>
        <w:tc>
          <w:tcPr>
            <w:tcW w:w="1303" w:type="dxa"/>
            <w:vAlign w:val="center"/>
          </w:tcPr>
          <w:p w14:paraId="470142CF">
            <w:pPr>
              <w:jc w:val="center"/>
              <w:rPr>
                <w:rFonts w:cs="Times New Roman"/>
                <w:sz w:val="22"/>
              </w:rPr>
            </w:pPr>
            <w:r>
              <w:rPr>
                <w:rFonts w:cs="Times New Roman"/>
                <w:sz w:val="22"/>
              </w:rPr>
              <w:t>8,6589</w:t>
            </w:r>
          </w:p>
        </w:tc>
        <w:tc>
          <w:tcPr>
            <w:tcW w:w="1300" w:type="dxa"/>
            <w:vAlign w:val="center"/>
          </w:tcPr>
          <w:p w14:paraId="166CD8BE">
            <w:pPr>
              <w:jc w:val="center"/>
              <w:rPr>
                <w:rFonts w:cs="Times New Roman"/>
                <w:sz w:val="22"/>
              </w:rPr>
            </w:pPr>
            <w:r>
              <w:rPr>
                <w:rFonts w:cs="Times New Roman"/>
                <w:sz w:val="22"/>
              </w:rPr>
              <w:t>1,05e8</w:t>
            </w:r>
          </w:p>
        </w:tc>
      </w:tr>
      <w:tr w14:paraId="28A8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4E3B02A">
            <w:pPr>
              <w:jc w:val="center"/>
              <w:rPr>
                <w:rFonts w:cs="Times New Roman"/>
                <w:sz w:val="22"/>
              </w:rPr>
            </w:pPr>
            <w:r>
              <w:rPr>
                <w:rFonts w:cs="Times New Roman"/>
                <w:sz w:val="22"/>
              </w:rPr>
              <w:t>20</w:t>
            </w:r>
          </w:p>
        </w:tc>
        <w:tc>
          <w:tcPr>
            <w:tcW w:w="1108" w:type="dxa"/>
            <w:vAlign w:val="center"/>
          </w:tcPr>
          <w:p w14:paraId="1DEA07FD">
            <w:pPr>
              <w:jc w:val="center"/>
              <w:rPr>
                <w:rFonts w:cs="Times New Roman"/>
                <w:sz w:val="22"/>
              </w:rPr>
            </w:pPr>
            <w:r>
              <w:rPr>
                <w:rFonts w:cs="Times New Roman"/>
                <w:sz w:val="22"/>
              </w:rPr>
              <w:t>PSO</w:t>
            </w:r>
          </w:p>
        </w:tc>
        <w:tc>
          <w:tcPr>
            <w:tcW w:w="1992" w:type="dxa"/>
            <w:vAlign w:val="center"/>
          </w:tcPr>
          <w:p w14:paraId="36412863">
            <w:pPr>
              <w:jc w:val="center"/>
              <w:rPr>
                <w:rFonts w:cs="Times New Roman"/>
                <w:i/>
                <w:sz w:val="22"/>
                <w:lang w:val="en-US"/>
              </w:rPr>
            </w:pPr>
            <w:r>
              <w:rPr>
                <w:rFonts w:cs="Times New Roman"/>
                <w:i/>
                <w:sz w:val="22"/>
              </w:rPr>
              <w:t xml:space="preserve">Transformer </w:t>
            </w:r>
            <w:r>
              <w:rPr>
                <w:rFonts w:cs="Times New Roman"/>
                <w:i/>
                <w:sz w:val="22"/>
                <w:lang w:val="en-US"/>
              </w:rPr>
              <w:t>Full</w:t>
            </w:r>
          </w:p>
        </w:tc>
        <w:tc>
          <w:tcPr>
            <w:tcW w:w="1487" w:type="dxa"/>
            <w:vAlign w:val="center"/>
          </w:tcPr>
          <w:p w14:paraId="7CB72FA2">
            <w:pPr>
              <w:jc w:val="center"/>
              <w:rPr>
                <w:rFonts w:cs="Times New Roman"/>
                <w:sz w:val="22"/>
              </w:rPr>
            </w:pPr>
            <w:r>
              <w:rPr>
                <w:rFonts w:cs="Times New Roman"/>
                <w:sz w:val="22"/>
              </w:rPr>
              <w:t>3,4627</w:t>
            </w:r>
          </w:p>
        </w:tc>
        <w:tc>
          <w:tcPr>
            <w:tcW w:w="1303" w:type="dxa"/>
            <w:vAlign w:val="center"/>
          </w:tcPr>
          <w:p w14:paraId="1AAB599B">
            <w:pPr>
              <w:jc w:val="center"/>
              <w:rPr>
                <w:rFonts w:cs="Times New Roman"/>
                <w:sz w:val="22"/>
              </w:rPr>
            </w:pPr>
            <w:r>
              <w:rPr>
                <w:rFonts w:cs="Times New Roman"/>
                <w:sz w:val="22"/>
              </w:rPr>
              <w:t>8,6589</w:t>
            </w:r>
          </w:p>
        </w:tc>
        <w:tc>
          <w:tcPr>
            <w:tcW w:w="1300" w:type="dxa"/>
            <w:vAlign w:val="center"/>
          </w:tcPr>
          <w:p w14:paraId="3A995D9C">
            <w:pPr>
              <w:jc w:val="center"/>
              <w:rPr>
                <w:rFonts w:cs="Times New Roman"/>
                <w:sz w:val="22"/>
              </w:rPr>
            </w:pPr>
            <w:r>
              <w:rPr>
                <w:rFonts w:cs="Times New Roman"/>
                <w:sz w:val="22"/>
              </w:rPr>
              <w:t>1,05e8</w:t>
            </w:r>
          </w:p>
        </w:tc>
      </w:tr>
    </w:tbl>
    <w:p w14:paraId="75E7768B">
      <w:pPr>
        <w:spacing w:before="240"/>
        <w:ind w:firstLine="720"/>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 xml:space="preserve">Nilai RMSE dan Srobust pada tahap ini masih berada pada skala target transformasi yang digunakan selama HPO, sehingga tidak dibandingkan langsung dengan metrik test dalam satuan mm setelah </w:t>
      </w:r>
      <w:r>
        <w:rPr>
          <w:rFonts w:cs="Times New Roman"/>
          <w:i/>
          <w:color w:val="000000" w:themeColor="text1"/>
          <w:lang w:val="en-US"/>
          <w14:textFill>
            <w14:solidFill>
              <w14:schemeClr w14:val="tx1"/>
            </w14:solidFill>
          </w14:textFill>
        </w:rPr>
        <w:t>retraining</w:t>
      </w:r>
      <w:r>
        <w:rPr>
          <w:rFonts w:cs="Times New Roman"/>
          <w:color w:val="000000" w:themeColor="text1"/>
          <w:lang w:val="en-US"/>
          <w14:textFill>
            <w14:solidFill>
              <w14:schemeClr w14:val="tx1"/>
            </w14:solidFill>
          </w14:textFill>
        </w:rPr>
        <w:t xml:space="preserve"> pada Sub-bab 4.4.</w:t>
      </w:r>
    </w:p>
    <w:p w14:paraId="4BBBBA1E">
      <w:pPr>
        <w:jc w:val="center"/>
        <w:rPr>
          <w:b/>
          <w:i/>
        </w:rPr>
      </w:pPr>
      <w:r>
        <w:drawing>
          <wp:inline distT="0" distB="0" distL="114300" distR="114300">
            <wp:extent cx="5011420" cy="2583180"/>
            <wp:effectExtent l="0" t="0" r="0" b="7620"/>
            <wp:docPr id="76" name="Picture" descr="Heatmap HPO x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descr="Heatmap HPO x Model"/>
                    <pic:cNvPicPr>
                      <a:picLocks noChangeAspect="1" noChangeArrowheads="1"/>
                    </pic:cNvPicPr>
                  </pic:nvPicPr>
                  <pic:blipFill>
                    <a:blip r:embed="rId54"/>
                    <a:stretch>
                      <a:fillRect/>
                    </a:stretch>
                  </pic:blipFill>
                  <pic:spPr>
                    <a:xfrm>
                      <a:off x="0" y="0"/>
                      <a:ext cx="5054995" cy="2605326"/>
                    </a:xfrm>
                    <a:prstGeom prst="rect">
                      <a:avLst/>
                    </a:prstGeom>
                    <a:noFill/>
                    <a:ln w="9525">
                      <a:noFill/>
                    </a:ln>
                  </pic:spPr>
                </pic:pic>
              </a:graphicData>
            </a:graphic>
          </wp:inline>
        </w:drawing>
      </w:r>
      <w:bookmarkStart w:id="110" w:name="_Toc236077425"/>
    </w:p>
    <w:p w14:paraId="7BDFE20B">
      <w:pPr>
        <w:jc w:val="center"/>
        <w:rPr>
          <w:b/>
          <w:lang w:val="en-US"/>
        </w:rPr>
      </w:pPr>
      <w:r>
        <w:rPr>
          <w:b/>
        </w:rPr>
        <w:t xml:space="preserve">Gambar 4. </w:t>
      </w:r>
      <w:r>
        <w:rPr>
          <w:b/>
        </w:rPr>
        <w:fldChar w:fldCharType="begin"/>
      </w:r>
      <w:r>
        <w:rPr>
          <w:b/>
        </w:rPr>
        <w:instrText xml:space="preserve"> SEQ Gambar_4. \* ARABIC </w:instrText>
      </w:r>
      <w:r>
        <w:rPr>
          <w:b/>
        </w:rPr>
        <w:fldChar w:fldCharType="separate"/>
      </w:r>
      <w:r>
        <w:rPr>
          <w:b/>
        </w:rPr>
        <w:t>14</w:t>
      </w:r>
      <w:r>
        <w:rPr>
          <w:b/>
        </w:rPr>
        <w:fldChar w:fldCharType="end"/>
      </w:r>
      <w:r>
        <w:rPr>
          <w:b/>
          <w:lang w:val="en-US"/>
        </w:rPr>
        <w:t xml:space="preserve"> Heatmap kinerja terbaik HPO × model</w:t>
      </w:r>
      <w:bookmarkEnd w:id="110"/>
    </w:p>
    <w:p w14:paraId="56EFB555">
      <w:pPr>
        <w:pStyle w:val="5"/>
        <w:ind w:firstLine="7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Visualisasi matriks pada Gambar 4.</w:t>
      </w:r>
      <w:r>
        <w:rPr>
          <w:rFonts w:cs="Times New Roman"/>
          <w:color w:val="000000" w:themeColor="text1"/>
          <w:lang w:val="en-US"/>
          <w14:textFill>
            <w14:solidFill>
              <w14:schemeClr w14:val="tx1"/>
            </w14:solidFill>
          </w14:textFill>
        </w:rPr>
        <w:t xml:space="preserve"> 14</w:t>
      </w:r>
      <w:r>
        <w:rPr>
          <w:rFonts w:cs="Times New Roman"/>
          <w:color w:val="000000" w:themeColor="text1"/>
          <w14:textFill>
            <w14:solidFill>
              <w14:schemeClr w14:val="tx1"/>
            </w14:solidFill>
          </w14:textFill>
        </w:rPr>
        <w:t xml:space="preserve"> memperjelas pola </w:t>
      </w:r>
      <w:r>
        <w:rPr>
          <w:rFonts w:cs="Times New Roman"/>
          <w:color w:val="000000" w:themeColor="text1"/>
          <w:lang w:val="en-US"/>
          <w14:textFill>
            <w14:solidFill>
              <w14:schemeClr w14:val="tx1"/>
            </w14:solidFill>
          </w14:textFill>
        </w:rPr>
        <w:t>matriks</w:t>
      </w:r>
      <w:r>
        <w:rPr>
          <w:rFonts w:cs="Times New Roman"/>
          <w:color w:val="000000" w:themeColor="text1"/>
          <w14:textFill>
            <w14:solidFill>
              <w14:schemeClr w14:val="tx1"/>
            </w14:solidFill>
          </w14:textFill>
        </w:rPr>
        <w:t xml:space="preserve">. Warna hijau mengindikasikan kombinasi yang lebih baik. BO tampak dominan pada kelompok model </w:t>
      </w:r>
      <w:r>
        <w:rPr>
          <w:rFonts w:cs="Times New Roman"/>
          <w:i/>
          <w:iCs/>
          <w:color w:val="000000" w:themeColor="text1"/>
          <w14:textFill>
            <w14:solidFill>
              <w14:schemeClr w14:val="tx1"/>
            </w14:solidFill>
          </w14:textFill>
        </w:rPr>
        <w:t>Transformer</w:t>
      </w:r>
      <w:r>
        <w:rPr>
          <w:rFonts w:cs="Times New Roman"/>
          <w:i/>
          <w:iCs/>
          <w:color w:val="000000" w:themeColor="text1"/>
          <w:lang w:val="en-US"/>
          <w14:textFill>
            <w14:solidFill>
              <w14:schemeClr w14:val="tx1"/>
            </w14:solidFill>
          </w14:textFill>
        </w:rPr>
        <w:t xml:space="preserve"> </w:t>
      </w:r>
      <w:r>
        <w:rPr>
          <w:rFonts w:cs="Times New Roman"/>
          <w:color w:val="000000" w:themeColor="text1"/>
          <w:lang w:val="en-US"/>
          <w14:textFill>
            <w14:solidFill>
              <w14:schemeClr w14:val="tx1"/>
            </w14:solidFill>
          </w14:textFill>
        </w:rPr>
        <w:t>dan lainnya</w:t>
      </w:r>
      <w:r>
        <w:rPr>
          <w:rFonts w:cs="Times New Roman"/>
          <w:color w:val="000000" w:themeColor="text1"/>
          <w14:textFill>
            <w14:solidFill>
              <w14:schemeClr w14:val="tx1"/>
            </w14:solidFill>
          </w14:textFill>
        </w:rPr>
        <w:t xml:space="preserve">, sedangkan IFPOA-X paling kuat pada GRU. Sebaliknya, PSO dan FPA cenderung tertinggal pada </w:t>
      </w:r>
      <w:r>
        <w:rPr>
          <w:rFonts w:cs="Times New Roman"/>
          <w:i/>
          <w:iCs/>
          <w:color w:val="000000" w:themeColor="text1"/>
          <w14:textFill>
            <w14:solidFill>
              <w14:schemeClr w14:val="tx1"/>
            </w14:solidFill>
          </w14:textFill>
        </w:rPr>
        <w:t xml:space="preserve">Transformer </w:t>
      </w:r>
      <w:r>
        <w:rPr>
          <w:rFonts w:cs="Times New Roman"/>
          <w:i/>
          <w:iCs/>
          <w:color w:val="000000" w:themeColor="text1"/>
          <w:lang w:val="en-US"/>
          <w14:textFill>
            <w14:solidFill>
              <w14:schemeClr w14:val="tx1"/>
            </w14:solidFill>
          </w14:textFill>
        </w:rPr>
        <w:t>Full</w:t>
      </w:r>
      <w:r>
        <w:rPr>
          <w:rFonts w:cs="Times New Roman"/>
          <w:color w:val="000000" w:themeColor="text1"/>
          <w14:textFill>
            <w14:solidFill>
              <w14:schemeClr w14:val="tx1"/>
            </w14:solidFill>
          </w14:textFill>
        </w:rPr>
        <w:t>, dengan RMSE di atas 3,46. Pola ini menunjukkan bahwa algoritma berbasis populasi standar belum selalu efisien ketika ruang pencarian arsitektur menjadi lebih besar.</w:t>
      </w:r>
    </w:p>
    <w:p w14:paraId="450C691A">
      <w:pPr>
        <w:pStyle w:val="4"/>
        <w:rPr>
          <w:color w:val="000000" w:themeColor="text1"/>
          <w14:textFill>
            <w14:solidFill>
              <w14:schemeClr w14:val="tx1"/>
            </w14:solidFill>
          </w14:textFill>
        </w:rPr>
      </w:pPr>
      <w:bookmarkStart w:id="111" w:name="_Toc236076758"/>
      <w:r>
        <w:rPr>
          <w:bCs/>
          <w:color w:val="000000" w:themeColor="text1"/>
          <w14:textFill>
            <w14:solidFill>
              <w14:schemeClr w14:val="tx1"/>
            </w14:solidFill>
          </w14:textFill>
        </w:rPr>
        <w:t xml:space="preserve">4.3.2 Analisis </w:t>
      </w:r>
      <w:r>
        <w:rPr>
          <w:bCs/>
          <w:i/>
          <w:iCs/>
          <w:color w:val="000000" w:themeColor="text1"/>
          <w14:textFill>
            <w14:solidFill>
              <w14:schemeClr w14:val="tx1"/>
            </w14:solidFill>
          </w14:textFill>
        </w:rPr>
        <w:t>Trade-off</w:t>
      </w:r>
      <w:r>
        <w:rPr>
          <w:bCs/>
          <w:color w:val="000000" w:themeColor="text1"/>
          <w14:textFill>
            <w14:solidFill>
              <w14:schemeClr w14:val="tx1"/>
            </w14:solidFill>
          </w14:textFill>
        </w:rPr>
        <w:t xml:space="preserve"> Akurasi, Ketahanan, dan Efisiensi</w:t>
      </w:r>
      <w:bookmarkEnd w:id="111"/>
    </w:p>
    <w:p w14:paraId="0828E184">
      <w:pPr>
        <w:jc w:val="center"/>
      </w:pPr>
      <w:r>
        <w:drawing>
          <wp:inline distT="0" distB="0" distL="114300" distR="114300">
            <wp:extent cx="4962525" cy="3427730"/>
            <wp:effectExtent l="0" t="0" r="3175" b="1270"/>
            <wp:docPr id="79" name="Picture" descr="Landscape HPO x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descr="Landscape HPO x Model"/>
                    <pic:cNvPicPr>
                      <a:picLocks noChangeAspect="1" noChangeArrowheads="1"/>
                    </pic:cNvPicPr>
                  </pic:nvPicPr>
                  <pic:blipFill>
                    <a:blip r:embed="rId55"/>
                    <a:stretch>
                      <a:fillRect/>
                    </a:stretch>
                  </pic:blipFill>
                  <pic:spPr>
                    <a:xfrm>
                      <a:off x="0" y="0"/>
                      <a:ext cx="4962525" cy="3427730"/>
                    </a:xfrm>
                    <a:prstGeom prst="rect">
                      <a:avLst/>
                    </a:prstGeom>
                    <a:noFill/>
                    <a:ln w="9525">
                      <a:noFill/>
                    </a:ln>
                  </pic:spPr>
                </pic:pic>
              </a:graphicData>
            </a:graphic>
          </wp:inline>
        </w:drawing>
      </w:r>
    </w:p>
    <w:p w14:paraId="23603AFA">
      <w:pPr>
        <w:jc w:val="center"/>
        <w:rPr>
          <w:b/>
          <w:lang w:val="en-US"/>
        </w:rPr>
      </w:pPr>
      <w:bookmarkStart w:id="112" w:name="_Toc236077426"/>
      <w:r>
        <w:rPr>
          <w:b/>
        </w:rPr>
        <w:t xml:space="preserve">Gambar 4. </w:t>
      </w:r>
      <w:r>
        <w:rPr>
          <w:b/>
        </w:rPr>
        <w:fldChar w:fldCharType="begin"/>
      </w:r>
      <w:r>
        <w:rPr>
          <w:b/>
        </w:rPr>
        <w:instrText xml:space="preserve"> SEQ Gambar_4. \* ARABIC </w:instrText>
      </w:r>
      <w:r>
        <w:rPr>
          <w:b/>
        </w:rPr>
        <w:fldChar w:fldCharType="separate"/>
      </w:r>
      <w:r>
        <w:rPr>
          <w:b/>
        </w:rPr>
        <w:t>15</w:t>
      </w:r>
      <w:r>
        <w:rPr>
          <w:b/>
        </w:rPr>
        <w:fldChar w:fldCharType="end"/>
      </w:r>
      <w:r>
        <w:rPr>
          <w:b/>
          <w:lang w:val="en-US"/>
        </w:rPr>
        <w:t xml:space="preserve"> </w:t>
      </w:r>
      <w:r>
        <w:rPr>
          <w:b/>
          <w:i/>
          <w:lang w:val="en-US"/>
        </w:rPr>
        <w:t xml:space="preserve">Landscape </w:t>
      </w:r>
      <w:r>
        <w:rPr>
          <w:b/>
          <w:lang w:val="en-US"/>
        </w:rPr>
        <w:t>akurasi vs ketahanan</w:t>
      </w:r>
      <w:bookmarkEnd w:id="112"/>
    </w:p>
    <w:p w14:paraId="3DC3613C">
      <w:pPr>
        <w:pStyle w:val="5"/>
        <w:ind w:firstLine="720"/>
        <w:rPr>
          <w:b/>
          <w:lang w:val="en-US"/>
        </w:rPr>
      </w:pPr>
      <w:r>
        <w:rPr>
          <w:rFonts w:cs="Times New Roman"/>
          <w:color w:val="000000" w:themeColor="text1"/>
          <w14:textFill>
            <w14:solidFill>
              <w14:schemeClr w14:val="tx1"/>
            </w14:solidFill>
          </w14:textFill>
        </w:rPr>
        <w:t>Gambar 4.</w:t>
      </w:r>
      <w:r>
        <w:rPr>
          <w:rFonts w:cs="Times New Roman"/>
          <w:color w:val="000000" w:themeColor="text1"/>
          <w:lang w:val="en-US"/>
          <w14:textFill>
            <w14:solidFill>
              <w14:schemeClr w14:val="tx1"/>
            </w14:solidFill>
          </w14:textFill>
        </w:rPr>
        <w:t xml:space="preserve"> 15</w:t>
      </w:r>
      <w:r>
        <w:rPr>
          <w:rFonts w:cs="Times New Roman"/>
          <w:color w:val="000000" w:themeColor="text1"/>
          <w14:textFill>
            <w14:solidFill>
              <w14:schemeClr w14:val="tx1"/>
            </w14:solidFill>
          </w14:textFill>
        </w:rPr>
        <w:t xml:space="preserve"> menampilkan </w:t>
      </w:r>
      <w:r>
        <w:rPr>
          <w:rFonts w:cs="Times New Roman"/>
          <w:i/>
          <w:iCs/>
          <w:color w:val="000000" w:themeColor="text1"/>
          <w14:textFill>
            <w14:solidFill>
              <w14:schemeClr w14:val="tx1"/>
            </w14:solidFill>
          </w14:textFill>
        </w:rPr>
        <w:t xml:space="preserve">landscape </w:t>
      </w:r>
      <w:r>
        <w:rPr>
          <w:rFonts w:cs="Times New Roman"/>
          <w:color w:val="000000" w:themeColor="text1"/>
          <w14:textFill>
            <w14:solidFill>
              <w14:schemeClr w14:val="tx1"/>
            </w14:solidFill>
          </w14:textFill>
        </w:rPr>
        <w:t>hasil HPO dalam ruang akurasi–</w:t>
      </w:r>
      <w:r>
        <w:rPr>
          <w:rFonts w:cs="Times New Roman"/>
          <w:i/>
          <w:color w:val="000000" w:themeColor="text1"/>
          <w14:textFill>
            <w14:solidFill>
              <w14:schemeClr w14:val="tx1"/>
            </w14:solidFill>
          </w14:textFill>
        </w:rPr>
        <w:t>robustness</w:t>
      </w:r>
      <w:r>
        <w:rPr>
          <w:rFonts w:cs="Times New Roman"/>
          <w:color w:val="000000" w:themeColor="text1"/>
          <w14:textFill>
            <w14:solidFill>
              <w14:schemeClr w14:val="tx1"/>
            </w14:solidFill>
          </w14:textFill>
        </w:rPr>
        <w:t xml:space="preserve">, dengan sumbu-X adalah RMSE, sumbu-Y adalah </w:t>
      </w:r>
      <m:oMath>
        <m:sSub>
          <m:sSubPr>
            <m:ctrlPr>
              <w:rPr>
                <w:rFonts w:ascii="Cambria Math" w:hAnsi="Cambria Math" w:cs="Times New Roman"/>
                <w:color w:val="000000" w:themeColor="text1"/>
                <w14:textFill>
                  <w14:solidFill>
                    <w14:schemeClr w14:val="tx1"/>
                  </w14:solidFill>
                </w14:textFill>
              </w:rPr>
            </m:ctrlPr>
          </m:sSubPr>
          <m:e>
            <m:r>
              <m:rPr>
                <m:nor/>
              </m:rPr>
              <w:rPr>
                <w:rFonts w:cs="Times New Roman"/>
                <w:i/>
                <w:color w:val="000000" w:themeColor="text1"/>
                <w14:textFill>
                  <w14:solidFill>
                    <w14:schemeClr w14:val="tx1"/>
                  </w14:solidFill>
                </w14:textFill>
              </w:rPr>
              <m:t>S</m:t>
            </m:r>
            <m:ctrlPr>
              <w:rPr>
                <w:rFonts w:ascii="Cambria Math" w:hAnsi="Cambria Math" w:cs="Times New Roman"/>
                <w:color w:val="000000" w:themeColor="text1"/>
                <w14:textFill>
                  <w14:solidFill>
                    <w14:schemeClr w14:val="tx1"/>
                  </w14:solidFill>
                </w14:textFill>
              </w:rPr>
            </m:ctrlPr>
          </m:e>
          <m:sub>
            <m:r>
              <m:rPr>
                <m:nor/>
              </m:rPr>
              <w:rPr>
                <w:rFonts w:cs="Times New Roman"/>
                <w:i/>
                <w:color w:val="000000" w:themeColor="text1"/>
                <w14:textFill>
                  <w14:solidFill>
                    <w14:schemeClr w14:val="tx1"/>
                  </w14:solidFill>
                </w14:textFill>
              </w:rPr>
              <m:t>robust</m:t>
            </m:r>
            <m:ctrlPr>
              <w:rPr>
                <w:rFonts w:ascii="Cambria Math" w:hAnsi="Cambria Math" w:cs="Times New Roman"/>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dan ukuran titik merepresentasikan FLOPs. Posisi terbaik berada di kiri-bawah, yaitu kombinasi dengan RMSE dan </w:t>
      </w:r>
      <m:oMath>
        <m:sSub>
          <m:sSubPr>
            <m:ctrlPr>
              <w:rPr>
                <w:rFonts w:ascii="Cambria Math" w:hAnsi="Cambria Math" w:cs="Times New Roman"/>
                <w:color w:val="000000" w:themeColor="text1"/>
                <w14:textFill>
                  <w14:solidFill>
                    <w14:schemeClr w14:val="tx1"/>
                  </w14:solidFill>
                </w14:textFill>
              </w:rPr>
            </m:ctrlPr>
          </m:sSubPr>
          <m:e>
            <m:r>
              <m:rPr>
                <m:nor/>
              </m:rPr>
              <w:rPr>
                <w:rFonts w:cs="Times New Roman"/>
                <w:i/>
                <w:color w:val="000000" w:themeColor="text1"/>
                <w14:textFill>
                  <w14:solidFill>
                    <w14:schemeClr w14:val="tx1"/>
                  </w14:solidFill>
                </w14:textFill>
              </w:rPr>
              <m:t>S</m:t>
            </m:r>
            <m:ctrlPr>
              <w:rPr>
                <w:rFonts w:ascii="Cambria Math" w:hAnsi="Cambria Math" w:cs="Times New Roman"/>
                <w:color w:val="000000" w:themeColor="text1"/>
                <w14:textFill>
                  <w14:solidFill>
                    <w14:schemeClr w14:val="tx1"/>
                  </w14:solidFill>
                </w14:textFill>
              </w:rPr>
            </m:ctrlPr>
          </m:e>
          <m:sub>
            <m:r>
              <m:rPr>
                <m:nor/>
              </m:rPr>
              <w:rPr>
                <w:rFonts w:cs="Times New Roman"/>
                <w:i/>
                <w:color w:val="000000" w:themeColor="text1"/>
                <w14:textFill>
                  <w14:solidFill>
                    <w14:schemeClr w14:val="tx1"/>
                  </w14:solidFill>
                </w14:textFill>
              </w:rPr>
              <m:t>robust</m:t>
            </m:r>
            <m:ctrlPr>
              <w:rPr>
                <w:rFonts w:ascii="Cambria Math" w:hAnsi="Cambria Math" w:cs="Times New Roman"/>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rendah. Dari gambar tersebut terlihat bahwa kandidat terbaik berkumpul pada rentang RMSE 2,99–3,01. IFPOA-X-GRU menempati titik dengan RMSE terendah, sedangkan BO-BiLSTM memiliki </w:t>
      </w:r>
      <m:oMath>
        <m:sSub>
          <m:sSubPr>
            <m:ctrlPr>
              <w:rPr>
                <w:rFonts w:ascii="Cambria Math" w:hAnsi="Cambria Math" w:cs="Times New Roman"/>
                <w:color w:val="000000" w:themeColor="text1"/>
                <w14:textFill>
                  <w14:solidFill>
                    <w14:schemeClr w14:val="tx1"/>
                  </w14:solidFill>
                </w14:textFill>
              </w:rPr>
            </m:ctrlPr>
          </m:sSubPr>
          <m:e>
            <m:r>
              <m:rPr>
                <m:nor/>
              </m:rPr>
              <w:rPr>
                <w:rFonts w:cs="Times New Roman"/>
                <w:i/>
                <w:color w:val="000000" w:themeColor="text1"/>
                <w14:textFill>
                  <w14:solidFill>
                    <w14:schemeClr w14:val="tx1"/>
                  </w14:solidFill>
                </w14:textFill>
              </w:rPr>
              <m:t>S</m:t>
            </m:r>
            <m:ctrlPr>
              <w:rPr>
                <w:rFonts w:ascii="Cambria Math" w:hAnsi="Cambria Math" w:cs="Times New Roman"/>
                <w:color w:val="000000" w:themeColor="text1"/>
                <w14:textFill>
                  <w14:solidFill>
                    <w14:schemeClr w14:val="tx1"/>
                  </w14:solidFill>
                </w14:textFill>
              </w:rPr>
            </m:ctrlPr>
          </m:e>
          <m:sub>
            <m:r>
              <m:rPr>
                <m:nor/>
              </m:rPr>
              <w:rPr>
                <w:rFonts w:cs="Times New Roman"/>
                <w:i/>
                <w:color w:val="000000" w:themeColor="text1"/>
                <w14:textFill>
                  <w14:solidFill>
                    <w14:schemeClr w14:val="tx1"/>
                  </w14:solidFill>
                </w14:textFill>
              </w:rPr>
              <m:t>robust</m:t>
            </m:r>
            <m:ctrlPr>
              <w:rPr>
                <w:rFonts w:ascii="Cambria Math" w:hAnsi="Cambria Math" w:cs="Times New Roman"/>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paling rendah meskipun RMSE-nya sedikit lebih tinggi. Dengan demikian, jika kriteria utama adalah akurasi rata-rata, IFPOA-X-GRU menjadi kandidat utama; sebaliknya, jika kriteria utama adalah </w:t>
      </w:r>
      <w:r>
        <w:rPr>
          <w:rFonts w:cs="Times New Roman"/>
          <w:i/>
          <w:color w:val="000000" w:themeColor="text1"/>
          <w14:textFill>
            <w14:solidFill>
              <w14:schemeClr w14:val="tx1"/>
            </w14:solidFill>
          </w14:textFill>
        </w:rPr>
        <w:t>robustness</w:t>
      </w:r>
      <w:r>
        <w:rPr>
          <w:rFonts w:cs="Times New Roman"/>
          <w:color w:val="000000" w:themeColor="text1"/>
          <w14:textFill>
            <w14:solidFill>
              <w14:schemeClr w14:val="tx1"/>
            </w14:solidFill>
          </w14:textFill>
        </w:rPr>
        <w:t>, BO-BiLSTM menjadi kandidat yang paling kuat.</w:t>
      </w:r>
      <w:r>
        <w:rPr>
          <w:rFonts w:cs="Times New Roman"/>
          <w:color w:val="000000" w:themeColor="text1"/>
          <w:lang w:val="en-US"/>
          <w14:textFill>
            <w14:solidFill>
              <w14:schemeClr w14:val="tx1"/>
            </w14:solidFill>
          </w14:textFill>
        </w:rPr>
        <w:t xml:space="preserve"> </w:t>
      </w:r>
    </w:p>
    <w:p w14:paraId="0B762187">
      <w:pPr>
        <w:pStyle w:val="4"/>
      </w:pPr>
      <w:bookmarkStart w:id="113" w:name="_Toc236076759"/>
      <w:r>
        <w:t>4.3.3 Evaluasi Konvergensi HPO per Model</w:t>
      </w:r>
      <w:bookmarkEnd w:id="113"/>
    </w:p>
    <w:p w14:paraId="4DF0ECA4">
      <w:pPr>
        <w:pStyle w:val="5"/>
        <w:spacing w:before="0"/>
        <w:ind w:firstLine="720"/>
        <w:rPr>
          <w:rFonts w:cs="Times New Roman"/>
        </w:rPr>
      </w:pPr>
      <w:r>
        <w:rPr>
          <w:rFonts w:cs="Times New Roman"/>
        </w:rPr>
        <w:t xml:space="preserve">Kurva konvergensi memperlihatkan dinamika penurunan nilai objektif </w:t>
      </w:r>
      <w:r>
        <w:rPr>
          <w:rFonts w:cs="Times New Roman"/>
          <w:i/>
        </w:rPr>
        <w:t>robust</w:t>
      </w:r>
      <w:r>
        <w:rPr>
          <w:rFonts w:cs="Times New Roman"/>
        </w:rPr>
        <w:t xml:space="preserve"> secara terpisah untuk setiap model</w:t>
      </w:r>
      <w:r>
        <w:rPr>
          <w:rFonts w:cs="Times New Roman"/>
          <w:lang w:val="en-US"/>
        </w:rPr>
        <w:t>. P</w:t>
      </w:r>
      <w:r>
        <w:rPr>
          <w:rFonts w:cs="Times New Roman"/>
        </w:rPr>
        <w:t xml:space="preserve">enurunan kurva menandakan ditemukannya konfigurasi yang lebih baik selama proses HPO. Pemisahan per model diperlukan karena setiap arsitektur memiliki ruang pencarian dan tingkat kesulitan optimasi yang berbeda. </w:t>
      </w:r>
    </w:p>
    <w:p w14:paraId="2EB33D0D">
      <w:pPr>
        <w:jc w:val="center"/>
      </w:pPr>
      <w:r>
        <w:drawing>
          <wp:inline distT="0" distB="0" distL="114300" distR="114300">
            <wp:extent cx="4427220" cy="2800350"/>
            <wp:effectExtent l="0" t="0" r="0" b="0"/>
            <wp:docPr id="82" name="Picture" descr="Konvergensi HPO Transfo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descr="Konvergensi HPO Transformer"/>
                    <pic:cNvPicPr>
                      <a:picLocks noChangeAspect="1" noChangeArrowheads="1"/>
                    </pic:cNvPicPr>
                  </pic:nvPicPr>
                  <pic:blipFill>
                    <a:blip r:embed="rId56"/>
                    <a:stretch>
                      <a:fillRect/>
                    </a:stretch>
                  </pic:blipFill>
                  <pic:spPr>
                    <a:xfrm>
                      <a:off x="0" y="0"/>
                      <a:ext cx="4433547" cy="2804668"/>
                    </a:xfrm>
                    <a:prstGeom prst="rect">
                      <a:avLst/>
                    </a:prstGeom>
                    <a:noFill/>
                    <a:ln w="9525">
                      <a:noFill/>
                    </a:ln>
                  </pic:spPr>
                </pic:pic>
              </a:graphicData>
            </a:graphic>
          </wp:inline>
        </w:drawing>
      </w:r>
    </w:p>
    <w:p w14:paraId="2D39DDA9">
      <w:pPr>
        <w:pStyle w:val="11"/>
        <w:keepNext/>
        <w:jc w:val="center"/>
        <w:rPr>
          <w:b/>
          <w:i w:val="0"/>
          <w:color w:val="auto"/>
          <w:sz w:val="24"/>
          <w:lang w:val="en-US"/>
        </w:rPr>
      </w:pPr>
      <w:bookmarkStart w:id="114" w:name="_Toc236077427"/>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16</w:t>
      </w:r>
      <w:r>
        <w:rPr>
          <w:b/>
          <w:i w:val="0"/>
          <w:color w:val="auto"/>
          <w:sz w:val="24"/>
        </w:rPr>
        <w:fldChar w:fldCharType="end"/>
      </w:r>
      <w:r>
        <w:rPr>
          <w:b/>
          <w:i w:val="0"/>
          <w:color w:val="auto"/>
          <w:sz w:val="24"/>
          <w:lang w:val="en-US"/>
        </w:rPr>
        <w:t xml:space="preserve"> Kurva konvergensi HPO pada</w:t>
      </w:r>
      <w:r>
        <w:rPr>
          <w:b/>
          <w:iCs w:val="0"/>
          <w:color w:val="auto"/>
          <w:sz w:val="24"/>
          <w:lang w:val="en-US"/>
        </w:rPr>
        <w:t xml:space="preserve"> Transformer Encoder-Only</w:t>
      </w:r>
      <w:bookmarkEnd w:id="114"/>
    </w:p>
    <w:p w14:paraId="1FF9703E">
      <w:pPr>
        <w:pStyle w:val="5"/>
        <w:ind w:firstLine="7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Pada </w:t>
      </w:r>
      <w:r>
        <w:rPr>
          <w:rFonts w:cs="Times New Roman"/>
          <w:color w:val="000000" w:themeColor="text1"/>
          <w:lang w:val="en-US"/>
          <w14:textFill>
            <w14:solidFill>
              <w14:schemeClr w14:val="tx1"/>
            </w14:solidFill>
          </w14:textFill>
        </w:rPr>
        <w:t>k</w:t>
      </w:r>
      <w:r>
        <w:rPr>
          <w:bCs/>
          <w:lang w:val="en-US"/>
        </w:rPr>
        <w:t xml:space="preserve">urva konvergensi di </w:t>
      </w:r>
      <w:r>
        <w:rPr>
          <w:rFonts w:cs="Times New Roman"/>
          <w:color w:val="000000" w:themeColor="text1"/>
          <w:lang w:val="en-US"/>
          <w14:textFill>
            <w14:solidFill>
              <w14:schemeClr w14:val="tx1"/>
            </w14:solidFill>
          </w14:textFill>
        </w:rPr>
        <w:t>Gambar 4. 16,</w:t>
      </w:r>
      <w:r>
        <w:rPr>
          <w:rFonts w:cs="Times New Roman"/>
          <w:color w:val="000000" w:themeColor="text1"/>
          <w14:textFill>
            <w14:solidFill>
              <w14:schemeClr w14:val="tx1"/>
            </w14:solidFill>
          </w14:textFill>
        </w:rPr>
        <w:t xml:space="preserve"> BO </w:t>
      </w:r>
      <w:r>
        <w:rPr>
          <w:rFonts w:cs="Times New Roman"/>
          <w:color w:val="000000" w:themeColor="text1"/>
          <w:lang w:val="en-US"/>
          <w14:textFill>
            <w14:solidFill>
              <w14:schemeClr w14:val="tx1"/>
            </w14:solidFill>
          </w14:textFill>
        </w:rPr>
        <w:t xml:space="preserve">pada </w:t>
      </w:r>
      <w:r>
        <w:rPr>
          <w:rFonts w:cs="Times New Roman"/>
          <w:i/>
          <w:iCs/>
          <w:color w:val="000000" w:themeColor="text1"/>
          <w14:textFill>
            <w14:solidFill>
              <w14:schemeClr w14:val="tx1"/>
            </w14:solidFill>
          </w14:textFill>
        </w:rPr>
        <w:t>Transformer Encoder-Only</w:t>
      </w:r>
      <w:r>
        <w:rPr>
          <w:rFonts w:cs="Times New Roman"/>
          <w:i/>
          <w:iCs/>
          <w:color w:val="000000" w:themeColor="text1"/>
          <w:lang w:val="en-US"/>
          <w14:textFill>
            <w14:solidFill>
              <w14:schemeClr w14:val="tx1"/>
            </w14:solidFill>
          </w14:textFill>
        </w:rPr>
        <w:t xml:space="preserve"> </w:t>
      </w:r>
      <w:r>
        <w:rPr>
          <w:rFonts w:cs="Times New Roman"/>
          <w:color w:val="000000" w:themeColor="text1"/>
          <w14:textFill>
            <w14:solidFill>
              <w14:schemeClr w14:val="tx1"/>
            </w14:solidFill>
          </w14:textFill>
        </w:rPr>
        <w:t>lebih cepat menemukan kandidat robust yang kuat dibanding algoritma populasi.</w:t>
      </w:r>
    </w:p>
    <w:p w14:paraId="3F53B7D1">
      <w:pPr>
        <w:jc w:val="center"/>
      </w:pPr>
      <w:r>
        <w:drawing>
          <wp:inline distT="0" distB="0" distL="114300" distR="114300">
            <wp:extent cx="4498340" cy="2880360"/>
            <wp:effectExtent l="0" t="0" r="0" b="0"/>
            <wp:docPr id="85" name="Picture" descr="Konvergensi HPO Transformer Encoder-Deco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descr="Konvergensi HPO Transformer Encoder-Decoder"/>
                    <pic:cNvPicPr>
                      <a:picLocks noChangeAspect="1" noChangeArrowheads="1"/>
                    </pic:cNvPicPr>
                  </pic:nvPicPr>
                  <pic:blipFill>
                    <a:blip r:embed="rId57"/>
                    <a:stretch>
                      <a:fillRect/>
                    </a:stretch>
                  </pic:blipFill>
                  <pic:spPr>
                    <a:xfrm>
                      <a:off x="0" y="0"/>
                      <a:ext cx="4505208" cy="2884520"/>
                    </a:xfrm>
                    <a:prstGeom prst="rect">
                      <a:avLst/>
                    </a:prstGeom>
                    <a:noFill/>
                    <a:ln w="9525">
                      <a:noFill/>
                    </a:ln>
                  </pic:spPr>
                </pic:pic>
              </a:graphicData>
            </a:graphic>
          </wp:inline>
        </w:drawing>
      </w:r>
    </w:p>
    <w:p w14:paraId="09BF96BC">
      <w:pPr>
        <w:jc w:val="center"/>
        <w:rPr>
          <w:b/>
          <w:lang w:val="en-US"/>
        </w:rPr>
      </w:pPr>
      <w:bookmarkStart w:id="115" w:name="_Toc236077428"/>
      <w:r>
        <w:rPr>
          <w:b/>
        </w:rPr>
        <w:t xml:space="preserve">Gambar 4. </w:t>
      </w:r>
      <w:r>
        <w:rPr>
          <w:b/>
        </w:rPr>
        <w:fldChar w:fldCharType="begin"/>
      </w:r>
      <w:r>
        <w:rPr>
          <w:b/>
        </w:rPr>
        <w:instrText xml:space="preserve"> SEQ Gambar_4. \* ARABIC </w:instrText>
      </w:r>
      <w:r>
        <w:rPr>
          <w:b/>
        </w:rPr>
        <w:fldChar w:fldCharType="separate"/>
      </w:r>
      <w:r>
        <w:rPr>
          <w:b/>
        </w:rPr>
        <w:t>17</w:t>
      </w:r>
      <w:r>
        <w:rPr>
          <w:b/>
        </w:rPr>
        <w:fldChar w:fldCharType="end"/>
      </w:r>
      <w:r>
        <w:rPr>
          <w:b/>
          <w:lang w:val="en-US"/>
        </w:rPr>
        <w:t xml:space="preserve"> Kurva konvergensi HPO pada </w:t>
      </w:r>
      <w:r>
        <w:rPr>
          <w:b/>
          <w:i/>
          <w:lang w:val="en-US"/>
        </w:rPr>
        <w:t>Transformer Full</w:t>
      </w:r>
      <w:bookmarkEnd w:id="115"/>
    </w:p>
    <w:p w14:paraId="16065A8E">
      <w:pPr>
        <w:pStyle w:val="5"/>
        <w:ind w:firstLine="720"/>
        <w:rPr>
          <w:rFonts w:cs="Times New Roman"/>
          <w:color w:val="C00000"/>
        </w:rPr>
      </w:pPr>
      <w:r>
        <w:rPr>
          <w:rFonts w:cs="Times New Roman"/>
          <w:color w:val="000000" w:themeColor="text1"/>
          <w14:textFill>
            <w14:solidFill>
              <w14:schemeClr w14:val="tx1"/>
            </w14:solidFill>
          </w14:textFill>
        </w:rPr>
        <w:t xml:space="preserve">Pada </w:t>
      </w:r>
      <w:r>
        <w:rPr>
          <w:rFonts w:cs="Times New Roman"/>
          <w:color w:val="000000" w:themeColor="text1"/>
          <w:lang w:val="en-US"/>
          <w14:textFill>
            <w14:solidFill>
              <w14:schemeClr w14:val="tx1"/>
            </w14:solidFill>
          </w14:textFill>
        </w:rPr>
        <w:t>k</w:t>
      </w:r>
      <w:r>
        <w:rPr>
          <w:bCs/>
          <w:lang w:val="en-US"/>
        </w:rPr>
        <w:t xml:space="preserve">urva konvergensi di </w:t>
      </w:r>
      <w:r>
        <w:rPr>
          <w:rFonts w:cs="Times New Roman"/>
          <w:color w:val="000000" w:themeColor="text1"/>
          <w:lang w:val="en-US"/>
          <w14:textFill>
            <w14:solidFill>
              <w14:schemeClr w14:val="tx1"/>
            </w14:solidFill>
          </w14:textFill>
        </w:rPr>
        <w:t>Gambar 4. 17,</w:t>
      </w:r>
      <w:r>
        <w:rPr>
          <w:rFonts w:cs="Times New Roman"/>
          <w:color w:val="000000" w:themeColor="text1"/>
          <w14:textFill>
            <w14:solidFill>
              <w14:schemeClr w14:val="tx1"/>
            </w14:solidFill>
          </w14:textFill>
        </w:rPr>
        <w:t xml:space="preserve"> BO </w:t>
      </w:r>
      <w:r>
        <w:rPr>
          <w:rFonts w:cs="Times New Roman"/>
          <w:color w:val="000000" w:themeColor="text1"/>
          <w:lang w:val="en-US"/>
          <w14:textFill>
            <w14:solidFill>
              <w14:schemeClr w14:val="tx1"/>
            </w14:solidFill>
          </w14:textFill>
        </w:rPr>
        <w:t>pada</w:t>
      </w:r>
      <w:r>
        <w:rPr>
          <w:rFonts w:cs="Times New Roman"/>
          <w:color w:val="000000" w:themeColor="text1"/>
          <w14:textFill>
            <w14:solidFill>
              <w14:schemeClr w14:val="tx1"/>
            </w14:solidFill>
          </w14:textFill>
        </w:rPr>
        <w:t xml:space="preserve"> </w:t>
      </w:r>
      <w:r>
        <w:rPr>
          <w:rFonts w:cs="Times New Roman"/>
          <w:i/>
          <w:iCs/>
          <w:color w:val="000000" w:themeColor="text1"/>
          <w14:textFill>
            <w14:solidFill>
              <w14:schemeClr w14:val="tx1"/>
            </w14:solidFill>
          </w14:textFill>
        </w:rPr>
        <w:t xml:space="preserve">Transformer </w:t>
      </w:r>
      <w:r>
        <w:rPr>
          <w:rFonts w:cs="Times New Roman"/>
          <w:i/>
          <w:iCs/>
          <w:color w:val="000000" w:themeColor="text1"/>
          <w:lang w:val="en-US"/>
          <w14:textFill>
            <w14:solidFill>
              <w14:schemeClr w14:val="tx1"/>
            </w14:solidFill>
          </w14:textFill>
        </w:rPr>
        <w:t xml:space="preserve">Full </w:t>
      </w:r>
      <w:r>
        <w:rPr>
          <w:rFonts w:cs="Times New Roman"/>
          <w:color w:val="000000" w:themeColor="text1"/>
          <w14:textFill>
            <w14:solidFill>
              <w14:schemeClr w14:val="tx1"/>
            </w14:solidFill>
          </w14:textFill>
        </w:rPr>
        <w:t>lebih cepat menemukan kandidat robust yang kuat dibanding algoritma populasi.</w:t>
      </w:r>
    </w:p>
    <w:p w14:paraId="0CCCAC2A">
      <w:pPr>
        <w:jc w:val="center"/>
      </w:pPr>
      <w:r>
        <w:drawing>
          <wp:inline distT="0" distB="0" distL="114300" distR="114300">
            <wp:extent cx="4503420" cy="2847340"/>
            <wp:effectExtent l="0" t="0" r="0" b="0"/>
            <wp:docPr id="88" name="Picture" descr="Konvergensi HPO 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descr="Konvergensi HPO GRU"/>
                    <pic:cNvPicPr>
                      <a:picLocks noChangeAspect="1" noChangeArrowheads="1"/>
                    </pic:cNvPicPr>
                  </pic:nvPicPr>
                  <pic:blipFill>
                    <a:blip r:embed="rId58"/>
                    <a:stretch>
                      <a:fillRect/>
                    </a:stretch>
                  </pic:blipFill>
                  <pic:spPr>
                    <a:xfrm>
                      <a:off x="0" y="0"/>
                      <a:ext cx="4510404" cy="2852159"/>
                    </a:xfrm>
                    <a:prstGeom prst="rect">
                      <a:avLst/>
                    </a:prstGeom>
                    <a:noFill/>
                    <a:ln w="9525">
                      <a:noFill/>
                    </a:ln>
                  </pic:spPr>
                </pic:pic>
              </a:graphicData>
            </a:graphic>
          </wp:inline>
        </w:drawing>
      </w:r>
    </w:p>
    <w:p w14:paraId="22F5920A">
      <w:pPr>
        <w:pStyle w:val="11"/>
        <w:keepNext/>
        <w:jc w:val="center"/>
        <w:rPr>
          <w:b/>
          <w:i w:val="0"/>
          <w:color w:val="auto"/>
          <w:sz w:val="24"/>
          <w:lang w:val="en-US"/>
        </w:rPr>
      </w:pPr>
      <w:bookmarkStart w:id="116" w:name="_Toc236077429"/>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18</w:t>
      </w:r>
      <w:r>
        <w:rPr>
          <w:b/>
          <w:i w:val="0"/>
          <w:color w:val="auto"/>
          <w:sz w:val="24"/>
        </w:rPr>
        <w:fldChar w:fldCharType="end"/>
      </w:r>
      <w:r>
        <w:rPr>
          <w:b/>
          <w:i w:val="0"/>
          <w:color w:val="auto"/>
          <w:sz w:val="24"/>
          <w:lang w:val="en-US"/>
        </w:rPr>
        <w:t xml:space="preserve"> Kurva konvergensi HPO pada </w:t>
      </w:r>
      <w:r>
        <w:rPr>
          <w:b/>
          <w:iCs w:val="0"/>
          <w:color w:val="auto"/>
          <w:sz w:val="24"/>
          <w:lang w:val="en-US"/>
        </w:rPr>
        <w:t>GRU</w:t>
      </w:r>
      <w:bookmarkEnd w:id="116"/>
    </w:p>
    <w:p w14:paraId="41F047C0">
      <w:pPr>
        <w:pStyle w:val="5"/>
        <w:ind w:firstLine="720"/>
        <w:rPr>
          <w:rFonts w:cs="Times New Roman"/>
        </w:rPr>
      </w:pPr>
      <w:r>
        <w:rPr>
          <w:rFonts w:cs="Times New Roman"/>
          <w:lang w:val="en-US"/>
        </w:rPr>
        <w:t>Pada k</w:t>
      </w:r>
      <w:r>
        <w:rPr>
          <w:bCs/>
          <w:lang w:val="en-US"/>
        </w:rPr>
        <w:t xml:space="preserve">urva konvergensi di </w:t>
      </w:r>
      <w:r>
        <w:rPr>
          <w:rFonts w:cs="Times New Roman"/>
          <w:lang w:val="en-US"/>
        </w:rPr>
        <w:t xml:space="preserve">Gambar 4. 18, Pada </w:t>
      </w:r>
      <w:r>
        <w:rPr>
          <w:rFonts w:cs="Times New Roman"/>
        </w:rPr>
        <w:t xml:space="preserve">IFPOA-X </w:t>
      </w:r>
      <w:r>
        <w:rPr>
          <w:rFonts w:cs="Times New Roman"/>
          <w:lang w:val="en-US"/>
        </w:rPr>
        <w:t xml:space="preserve">pada GRU </w:t>
      </w:r>
      <w:r>
        <w:rPr>
          <w:rFonts w:cs="Times New Roman"/>
        </w:rPr>
        <w:t xml:space="preserve">menunjukkan perbaikan bertahap hingga fase akhir dan menjadi kombinasi dengan RMSE terbaik secara keseluruhan. </w:t>
      </w:r>
    </w:p>
    <w:p w14:paraId="39FD5A7B">
      <w:pPr>
        <w:jc w:val="center"/>
        <w:rPr>
          <w:b/>
          <w:i/>
          <w:lang w:val="en-US"/>
        </w:rPr>
      </w:pPr>
      <w:r>
        <w:drawing>
          <wp:inline distT="0" distB="0" distL="114300" distR="114300">
            <wp:extent cx="4625975" cy="2926080"/>
            <wp:effectExtent l="0" t="0" r="3175" b="7620"/>
            <wp:docPr id="91" name="Picture" descr="Konvergensi HPO LS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descr="Konvergensi HPO LSTM"/>
                    <pic:cNvPicPr>
                      <a:picLocks noChangeAspect="1" noChangeArrowheads="1"/>
                    </pic:cNvPicPr>
                  </pic:nvPicPr>
                  <pic:blipFill>
                    <a:blip r:embed="rId59"/>
                    <a:stretch>
                      <a:fillRect/>
                    </a:stretch>
                  </pic:blipFill>
                  <pic:spPr>
                    <a:xfrm>
                      <a:off x="0" y="0"/>
                      <a:ext cx="4668801" cy="2952915"/>
                    </a:xfrm>
                    <a:prstGeom prst="rect">
                      <a:avLst/>
                    </a:prstGeom>
                    <a:noFill/>
                    <a:ln w="9525">
                      <a:noFill/>
                    </a:ln>
                  </pic:spPr>
                </pic:pic>
              </a:graphicData>
            </a:graphic>
          </wp:inline>
        </w:drawing>
      </w:r>
    </w:p>
    <w:p w14:paraId="4784F055">
      <w:pPr>
        <w:jc w:val="center"/>
        <w:rPr>
          <w:b/>
          <w:lang w:val="en-US"/>
        </w:rPr>
      </w:pPr>
      <w:bookmarkStart w:id="117" w:name="_Toc236077430"/>
      <w:r>
        <w:rPr>
          <w:b/>
        </w:rPr>
        <w:t xml:space="preserve">Gambar 4. </w:t>
      </w:r>
      <w:r>
        <w:rPr>
          <w:b/>
        </w:rPr>
        <w:fldChar w:fldCharType="begin"/>
      </w:r>
      <w:r>
        <w:rPr>
          <w:b/>
        </w:rPr>
        <w:instrText xml:space="preserve"> SEQ Gambar_4. \* ARABIC </w:instrText>
      </w:r>
      <w:r>
        <w:rPr>
          <w:b/>
        </w:rPr>
        <w:fldChar w:fldCharType="separate"/>
      </w:r>
      <w:r>
        <w:rPr>
          <w:b/>
        </w:rPr>
        <w:t>19</w:t>
      </w:r>
      <w:r>
        <w:rPr>
          <w:b/>
        </w:rPr>
        <w:fldChar w:fldCharType="end"/>
      </w:r>
      <w:r>
        <w:rPr>
          <w:b/>
          <w:lang w:val="en-US"/>
        </w:rPr>
        <w:t xml:space="preserve"> Kurva konvergensi HPO pada </w:t>
      </w:r>
      <w:r>
        <w:rPr>
          <w:b/>
          <w:iCs/>
          <w:lang w:val="en-US"/>
        </w:rPr>
        <w:t>LSTM</w:t>
      </w:r>
      <w:bookmarkEnd w:id="117"/>
    </w:p>
    <w:p w14:paraId="5204C9F0">
      <w:pPr>
        <w:pStyle w:val="5"/>
        <w:ind w:firstLine="720"/>
        <w:rPr>
          <w:rFonts w:cs="Times New Roman"/>
          <w:lang w:val="en-US"/>
        </w:rPr>
      </w:pPr>
      <w:r>
        <w:rPr>
          <w:rFonts w:cs="Times New Roman"/>
          <w:lang w:val="en-US"/>
        </w:rPr>
        <w:t>Pada k</w:t>
      </w:r>
      <w:r>
        <w:rPr>
          <w:bCs/>
          <w:lang w:val="en-US"/>
        </w:rPr>
        <w:t xml:space="preserve">urva konvergensi di </w:t>
      </w:r>
      <w:r>
        <w:rPr>
          <w:rFonts w:cs="Times New Roman"/>
          <w:lang w:val="en-US"/>
        </w:rPr>
        <w:t>Gambar 4. 19,</w:t>
      </w:r>
      <w:r>
        <w:rPr>
          <w:rFonts w:cs="Times New Roman"/>
        </w:rPr>
        <w:t xml:space="preserve"> BO dan IFPOA-X </w:t>
      </w:r>
      <w:r>
        <w:rPr>
          <w:rFonts w:cs="Times New Roman"/>
          <w:lang w:val="en-US"/>
        </w:rPr>
        <w:t xml:space="preserve">pada </w:t>
      </w:r>
      <w:r>
        <w:rPr>
          <w:rFonts w:cs="Times New Roman"/>
          <w:iCs/>
          <w:lang w:val="en-US"/>
        </w:rPr>
        <w:t xml:space="preserve">LSTM </w:t>
      </w:r>
      <w:r>
        <w:rPr>
          <w:rFonts w:cs="Times New Roman"/>
        </w:rPr>
        <w:t>berada pada rentang robust yang kompetitif</w:t>
      </w:r>
      <w:r>
        <w:rPr>
          <w:rFonts w:cs="Times New Roman"/>
          <w:lang w:val="en-US"/>
        </w:rPr>
        <w:t>. IFPOA-X hampir menyamai BO di akhir budget.</w:t>
      </w:r>
    </w:p>
    <w:p w14:paraId="1CC3ECF5">
      <w:pPr>
        <w:jc w:val="center"/>
      </w:pPr>
      <w:r>
        <w:drawing>
          <wp:inline distT="0" distB="0" distL="114300" distR="114300">
            <wp:extent cx="4572000" cy="2927350"/>
            <wp:effectExtent l="0" t="0" r="0" b="6350"/>
            <wp:docPr id="94" name="Picture" descr="Konvergensi HPO BiLS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descr="Konvergensi HPO BiLSTM"/>
                    <pic:cNvPicPr>
                      <a:picLocks noChangeAspect="1" noChangeArrowheads="1"/>
                    </pic:cNvPicPr>
                  </pic:nvPicPr>
                  <pic:blipFill>
                    <a:blip r:embed="rId60"/>
                    <a:stretch>
                      <a:fillRect/>
                    </a:stretch>
                  </pic:blipFill>
                  <pic:spPr>
                    <a:xfrm>
                      <a:off x="0" y="0"/>
                      <a:ext cx="4579681" cy="2932577"/>
                    </a:xfrm>
                    <a:prstGeom prst="rect">
                      <a:avLst/>
                    </a:prstGeom>
                    <a:noFill/>
                    <a:ln w="9525">
                      <a:noFill/>
                    </a:ln>
                  </pic:spPr>
                </pic:pic>
              </a:graphicData>
            </a:graphic>
          </wp:inline>
        </w:drawing>
      </w:r>
    </w:p>
    <w:p w14:paraId="236634A5">
      <w:pPr>
        <w:pStyle w:val="11"/>
        <w:keepNext/>
        <w:jc w:val="center"/>
        <w:rPr>
          <w:b/>
          <w:i w:val="0"/>
          <w:color w:val="auto"/>
          <w:sz w:val="24"/>
          <w:lang w:val="en-US"/>
        </w:rPr>
      </w:pPr>
      <w:bookmarkStart w:id="118" w:name="_Toc236077431"/>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20</w:t>
      </w:r>
      <w:r>
        <w:rPr>
          <w:b/>
          <w:i w:val="0"/>
          <w:color w:val="auto"/>
          <w:sz w:val="24"/>
        </w:rPr>
        <w:fldChar w:fldCharType="end"/>
      </w:r>
      <w:r>
        <w:rPr>
          <w:b/>
          <w:i w:val="0"/>
          <w:color w:val="auto"/>
          <w:sz w:val="24"/>
          <w:lang w:val="en-US"/>
        </w:rPr>
        <w:t xml:space="preserve"> Kurva konvergensi HPO pada BiLSTM</w:t>
      </w:r>
      <w:bookmarkEnd w:id="118"/>
    </w:p>
    <w:bookmarkEnd w:id="106"/>
    <w:p w14:paraId="22FE55EA">
      <w:pPr>
        <w:pStyle w:val="5"/>
        <w:ind w:firstLine="720"/>
        <w:rPr>
          <w:rFonts w:cs="Times New Roman"/>
        </w:rPr>
      </w:pPr>
      <w:bookmarkStart w:id="119" w:name="X1f2c2f1cfdaeeadc32a37e9d2407c91a01f394a"/>
      <w:r>
        <w:rPr>
          <w:rFonts w:cs="Times New Roman"/>
          <w:lang w:val="en-US"/>
        </w:rPr>
        <w:t>Pada k</w:t>
      </w:r>
      <w:r>
        <w:rPr>
          <w:bCs/>
          <w:lang w:val="en-US"/>
        </w:rPr>
        <w:t xml:space="preserve">urva konvergensi di </w:t>
      </w:r>
      <w:r>
        <w:rPr>
          <w:rFonts w:cs="Times New Roman"/>
          <w:lang w:val="en-US"/>
        </w:rPr>
        <w:t>Gambar 4. 20,</w:t>
      </w:r>
      <w:r>
        <w:rPr>
          <w:rFonts w:cs="Times New Roman"/>
          <w:i/>
          <w:iCs/>
        </w:rPr>
        <w:t xml:space="preserve"> </w:t>
      </w:r>
      <w:r>
        <w:rPr>
          <w:rFonts w:cs="Times New Roman"/>
        </w:rPr>
        <w:t xml:space="preserve">BO </w:t>
      </w:r>
      <w:r>
        <w:rPr>
          <w:rFonts w:cs="Times New Roman"/>
          <w:lang w:val="en-US"/>
        </w:rPr>
        <w:t xml:space="preserve">pada </w:t>
      </w:r>
      <w:r>
        <w:rPr>
          <w:rFonts w:cs="Times New Roman"/>
          <w:i/>
          <w:iCs/>
        </w:rPr>
        <w:t>BiLSTM</w:t>
      </w:r>
      <w:r>
        <w:rPr>
          <w:rFonts w:cs="Times New Roman"/>
          <w:i/>
          <w:iCs/>
          <w:lang w:val="en-US"/>
        </w:rPr>
        <w:t xml:space="preserve"> </w:t>
      </w:r>
      <w:r>
        <w:rPr>
          <w:rFonts w:cs="Times New Roman"/>
        </w:rPr>
        <w:t xml:space="preserve">menghasilkan nilai </w:t>
      </w:r>
      <m:oMath>
        <m:sSub>
          <m:sSubPr>
            <m:ctrlPr>
              <w:rPr>
                <w:rFonts w:ascii="Cambria Math" w:hAnsi="Cambria Math" w:cs="Times New Roman"/>
              </w:rPr>
            </m:ctrlPr>
          </m:sSubPr>
          <m:e>
            <m:r>
              <m:rPr>
                <m:nor/>
              </m:rPr>
              <w:rPr>
                <w:rFonts w:cs="Times New Roman"/>
                <w:i/>
              </w:rPr>
              <m:t>S</m:t>
            </m:r>
            <m:ctrlPr>
              <w:rPr>
                <w:rFonts w:ascii="Cambria Math" w:hAnsi="Cambria Math" w:cs="Times New Roman"/>
              </w:rPr>
            </m:ctrlPr>
          </m:e>
          <m:sub>
            <m:r>
              <m:rPr>
                <m:nor/>
              </m:rPr>
              <w:rPr>
                <w:rFonts w:cs="Times New Roman"/>
                <w:i/>
              </w:rPr>
              <m:t>robust</m:t>
            </m:r>
            <m:ctrlPr>
              <w:rPr>
                <w:rFonts w:ascii="Cambria Math" w:hAnsi="Cambria Math" w:cs="Times New Roman"/>
              </w:rPr>
            </m:ctrlPr>
          </m:sub>
        </m:sSub>
      </m:oMath>
      <w:r>
        <w:rPr>
          <w:rFonts w:cs="Times New Roman"/>
        </w:rPr>
        <w:t xml:space="preserve"> paling rendah. Secara keseluruhan, hasil HPO menunjukkan bahwa efektivitas algoritma bergantung pada karakter ruang pencarian masing-masing arsitektur.</w:t>
      </w:r>
    </w:p>
    <w:p w14:paraId="1232BFC9">
      <w:pPr>
        <w:pStyle w:val="4"/>
        <w:rPr>
          <w:lang w:val="en-US"/>
        </w:rPr>
      </w:pPr>
      <w:bookmarkStart w:id="120" w:name="_Toc236076760"/>
      <w:r>
        <w:rPr>
          <w:lang w:val="en-US"/>
        </w:rPr>
        <w:t>4.3.4 Pelatihan Ulang Model</w:t>
      </w:r>
      <w:bookmarkEnd w:id="120"/>
    </w:p>
    <w:p w14:paraId="3FF44A53">
      <w:pPr>
        <w:ind w:firstLine="720"/>
        <w:rPr>
          <w:lang w:val="en-US"/>
        </w:rPr>
      </w:pPr>
      <w:r>
        <w:t xml:space="preserve">Konfigurasi terbaik hasil </w:t>
      </w:r>
      <w:r>
        <w:rPr>
          <w:lang w:val="en-US"/>
        </w:rPr>
        <w:t>HPO</w:t>
      </w:r>
      <w:r>
        <w:t xml:space="preserve"> tidak langsung dijadikan model akhir, melainkan dilatih ulang secara penuh selama 100 epoch menggunakan data gabungan</w:t>
      </w:r>
      <w:r>
        <w:rPr>
          <w:lang w:val="en-US"/>
        </w:rPr>
        <w:t xml:space="preserve"> </w:t>
      </w:r>
      <w:r>
        <w:t>Jawa Barat. Tahap ini bertujuan memantapkan dan menstabilkan bobot model kandidat terpilih sebelum masuk ke tahap evaluasi data uji</w:t>
      </w:r>
      <w:r>
        <w:rPr>
          <w:lang w:val="en-US"/>
        </w:rPr>
        <w:t xml:space="preserve">. </w:t>
      </w:r>
      <w:r>
        <w:t xml:space="preserve">Konfigurasi </w:t>
      </w:r>
      <w:r>
        <w:rPr>
          <w:i/>
          <w:iCs/>
        </w:rPr>
        <w:t>hyperparameter</w:t>
      </w:r>
      <w:r>
        <w:t xml:space="preserve"> utama untuk setiap model final dirangkum dalam </w:t>
      </w:r>
      <w:r>
        <w:rPr>
          <w:bCs/>
        </w:rPr>
        <w:t>Tabel 4.</w:t>
      </w:r>
      <w:r>
        <w:rPr>
          <w:bCs/>
          <w:lang w:val="en-US"/>
        </w:rPr>
        <w:t xml:space="preserve"> 8.</w:t>
      </w:r>
    </w:p>
    <w:p w14:paraId="19D436DC">
      <w:pPr>
        <w:pStyle w:val="11"/>
        <w:keepNext/>
        <w:jc w:val="center"/>
        <w:rPr>
          <w:b/>
          <w:i w:val="0"/>
          <w:color w:val="auto"/>
          <w:sz w:val="24"/>
        </w:rPr>
      </w:pPr>
      <w:bookmarkStart w:id="121" w:name="_Toc236786431"/>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8</w:t>
      </w:r>
      <w:r>
        <w:rPr>
          <w:b/>
          <w:i w:val="0"/>
          <w:color w:val="auto"/>
          <w:sz w:val="24"/>
        </w:rPr>
        <w:fldChar w:fldCharType="end"/>
      </w:r>
      <w:r>
        <w:rPr>
          <w:b/>
          <w:i w:val="0"/>
          <w:color w:val="auto"/>
          <w:sz w:val="24"/>
          <w:lang w:val="en-US"/>
        </w:rPr>
        <w:t xml:space="preserve"> Konfigurasi Hyperparameter Terbaik Hasil HPO</w:t>
      </w:r>
      <w:bookmarkEnd w:id="121"/>
    </w:p>
    <w:tbl>
      <w:tblPr>
        <w:tblStyle w:val="67"/>
        <w:tblW w:w="4999" w:type="pct"/>
        <w:tblInd w:w="0" w:type="dxa"/>
        <w:tblLayout w:type="fixed"/>
        <w:tblCellMar>
          <w:top w:w="0" w:type="dxa"/>
          <w:left w:w="108" w:type="dxa"/>
          <w:bottom w:w="0" w:type="dxa"/>
          <w:right w:w="108" w:type="dxa"/>
        </w:tblCellMar>
      </w:tblPr>
      <w:tblGrid>
        <w:gridCol w:w="1478"/>
        <w:gridCol w:w="1154"/>
        <w:gridCol w:w="1447"/>
        <w:gridCol w:w="1605"/>
        <w:gridCol w:w="1019"/>
        <w:gridCol w:w="1441"/>
      </w:tblGrid>
      <w:tr w14:paraId="64DD36D6">
        <w:tblPrEx>
          <w:tblCellMar>
            <w:top w:w="0" w:type="dxa"/>
            <w:left w:w="108" w:type="dxa"/>
            <w:bottom w:w="0" w:type="dxa"/>
            <w:right w:w="108" w:type="dxa"/>
          </w:tblCellMar>
        </w:tblPrEx>
        <w:trPr>
          <w:tblHeader/>
        </w:trPr>
        <w:tc>
          <w:tcPr>
            <w:tcW w:w="90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D494E31">
            <w:pPr>
              <w:pStyle w:val="66"/>
              <w:jc w:val="center"/>
              <w:rPr>
                <w:rFonts w:cs="Times New Roman"/>
                <w:b/>
                <w:sz w:val="20"/>
              </w:rPr>
            </w:pPr>
            <w:r>
              <w:rPr>
                <w:rFonts w:cs="Times New Roman"/>
                <w:b/>
                <w:sz w:val="20"/>
              </w:rPr>
              <w:t>Model final</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99774">
            <w:pPr>
              <w:pStyle w:val="66"/>
              <w:jc w:val="center"/>
              <w:rPr>
                <w:rFonts w:cs="Times New Roman"/>
                <w:b/>
                <w:sz w:val="20"/>
              </w:rPr>
            </w:pPr>
            <w:r>
              <w:rPr>
                <w:rFonts w:cs="Times New Roman"/>
                <w:b/>
                <w:sz w:val="20"/>
              </w:rPr>
              <w:t>HPO terbaik</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3F51D">
            <w:pPr>
              <w:pStyle w:val="66"/>
              <w:jc w:val="center"/>
              <w:rPr>
                <w:rFonts w:cs="Times New Roman"/>
                <w:b/>
                <w:sz w:val="20"/>
              </w:rPr>
            </w:pPr>
            <w:r>
              <w:rPr>
                <w:rFonts w:cs="Times New Roman"/>
                <w:b/>
                <w:sz w:val="20"/>
              </w:rPr>
              <w:t>Arsitektur terpilih</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F2750">
            <w:pPr>
              <w:pStyle w:val="66"/>
              <w:jc w:val="center"/>
              <w:rPr>
                <w:rFonts w:cs="Times New Roman"/>
                <w:b/>
                <w:sz w:val="20"/>
              </w:rPr>
            </w:pPr>
            <w:r>
              <w:rPr>
                <w:rFonts w:cs="Times New Roman"/>
                <w:b/>
                <w:i/>
                <w:iCs/>
                <w:sz w:val="20"/>
              </w:rPr>
              <w:t>Training hyperparameter</w:t>
            </w:r>
            <w:r>
              <w:rPr>
                <w:rFonts w:cs="Times New Roman"/>
                <w:b/>
                <w:sz w:val="20"/>
              </w:rPr>
              <w:t xml:space="preserve"> terpilih</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3FEC1">
            <w:pPr>
              <w:pStyle w:val="66"/>
              <w:jc w:val="center"/>
              <w:rPr>
                <w:rFonts w:cs="Times New Roman"/>
                <w:b/>
                <w:sz w:val="20"/>
              </w:rPr>
            </w:pPr>
            <w:r>
              <w:rPr>
                <w:rFonts w:cs="Times New Roman"/>
                <w:b/>
                <w:sz w:val="20"/>
              </w:rPr>
              <w:t>RMSE HPO mean H1-H6</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11206">
            <w:pPr>
              <w:pStyle w:val="66"/>
              <w:jc w:val="center"/>
              <w:rPr>
                <w:rFonts w:cs="Times New Roman"/>
                <w:b/>
                <w:sz w:val="20"/>
              </w:rPr>
            </w:pPr>
            <w:r>
              <w:rPr>
                <w:rFonts w:cs="Times New Roman"/>
                <w:b/>
                <w:sz w:val="20"/>
              </w:rPr>
              <w:t>Catatan</w:t>
            </w:r>
          </w:p>
        </w:tc>
      </w:tr>
      <w:tr w14:paraId="29C1DE94">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D9499">
            <w:pPr>
              <w:pStyle w:val="66"/>
              <w:rPr>
                <w:rFonts w:cs="Times New Roman"/>
                <w:sz w:val="20"/>
              </w:rPr>
            </w:pPr>
            <w:r>
              <w:rPr>
                <w:rFonts w:cs="Times New Roman"/>
                <w:bCs/>
                <w:i/>
                <w:sz w:val="20"/>
              </w:rPr>
              <w:t>Transformer Encoder-Only</w:t>
            </w:r>
            <w:r>
              <w:rPr>
                <w:rFonts w:cs="Times New Roman"/>
                <w:bCs/>
                <w:sz w:val="20"/>
              </w:rPr>
              <w:t xml:space="preserve"> / ToMarx</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A77C9">
            <w:pPr>
              <w:pStyle w:val="66"/>
              <w:rPr>
                <w:rFonts w:cs="Times New Roman"/>
                <w:sz w:val="20"/>
              </w:rPr>
            </w:pPr>
            <w:r>
              <w:rPr>
                <w:rFonts w:cs="Times New Roman"/>
                <w:bCs/>
                <w:sz w:val="20"/>
              </w:rPr>
              <w:t>IFPOA-X</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261CB">
            <w:pPr>
              <w:spacing w:after="0" w:line="240" w:lineRule="auto"/>
              <w:jc w:val="left"/>
              <w:rPr>
                <w:rFonts w:ascii="Courier New" w:hAnsi="Courier New" w:cs="Courier New"/>
                <w:bCs/>
                <w:sz w:val="22"/>
                <w:szCs w:val="20"/>
              </w:rPr>
            </w:pPr>
            <w:r>
              <w:rPr>
                <w:rFonts w:ascii="Courier New" w:hAnsi="Courier New" w:cs="Courier New"/>
                <w:sz w:val="22"/>
                <w:szCs w:val="20"/>
              </w:rPr>
              <w:t>d_model=64</w:t>
            </w:r>
            <w:r>
              <w:rPr>
                <w:rFonts w:ascii="Courier New" w:hAnsi="Courier New" w:cs="Courier New"/>
                <w:bCs/>
                <w:sz w:val="22"/>
                <w:szCs w:val="20"/>
              </w:rPr>
              <w:t xml:space="preserve">, </w:t>
            </w:r>
            <w:r>
              <w:rPr>
                <w:rFonts w:ascii="Courier New" w:hAnsi="Courier New" w:cs="Courier New"/>
                <w:sz w:val="22"/>
                <w:szCs w:val="20"/>
              </w:rPr>
              <w:t>n_heads=4</w:t>
            </w:r>
            <w:r>
              <w:rPr>
                <w:rFonts w:ascii="Courier New" w:hAnsi="Courier New" w:cs="Courier New"/>
                <w:bCs/>
                <w:sz w:val="22"/>
                <w:szCs w:val="20"/>
              </w:rPr>
              <w:t xml:space="preserve">, </w:t>
            </w:r>
            <w:r>
              <w:rPr>
                <w:rFonts w:ascii="Courier New" w:hAnsi="Courier New" w:cs="Courier New"/>
                <w:sz w:val="22"/>
                <w:szCs w:val="20"/>
              </w:rPr>
              <w:t>n_layers=2</w:t>
            </w:r>
            <w:r>
              <w:rPr>
                <w:rFonts w:ascii="Courier New" w:hAnsi="Courier New" w:cs="Courier New"/>
                <w:bCs/>
                <w:sz w:val="22"/>
                <w:szCs w:val="20"/>
              </w:rPr>
              <w:t xml:space="preserve">, </w:t>
            </w:r>
            <w:r>
              <w:rPr>
                <w:rFonts w:ascii="Courier New" w:hAnsi="Courier New" w:cs="Courier New"/>
                <w:sz w:val="22"/>
                <w:szCs w:val="20"/>
              </w:rPr>
              <w:t>window_size=36</w:t>
            </w:r>
            <w:r>
              <w:rPr>
                <w:rFonts w:ascii="Courier New" w:hAnsi="Courier New" w:cs="Courier New"/>
                <w:bCs/>
                <w:sz w:val="22"/>
                <w:szCs w:val="20"/>
              </w:rPr>
              <w:t xml:space="preserve">, </w:t>
            </w:r>
            <w:r>
              <w:rPr>
                <w:rFonts w:ascii="Courier New" w:hAnsi="Courier New" w:cs="Courier New"/>
                <w:sz w:val="22"/>
                <w:szCs w:val="20"/>
              </w:rPr>
              <w:t>dropout=0,45</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E6152">
            <w:pPr>
              <w:spacing w:after="0" w:line="240" w:lineRule="auto"/>
              <w:jc w:val="left"/>
              <w:rPr>
                <w:rFonts w:ascii="Courier New" w:hAnsi="Courier New" w:cs="Courier New"/>
                <w:bCs/>
                <w:sz w:val="22"/>
                <w:szCs w:val="20"/>
              </w:rPr>
            </w:pPr>
            <w:r>
              <w:rPr>
                <w:rFonts w:ascii="Courier New" w:hAnsi="Courier New" w:cs="Courier New"/>
                <w:sz w:val="22"/>
                <w:szCs w:val="20"/>
              </w:rPr>
              <w:t>batch_size=8</w:t>
            </w:r>
            <w:r>
              <w:rPr>
                <w:rFonts w:ascii="Courier New" w:hAnsi="Courier New" w:cs="Courier New"/>
                <w:bCs/>
                <w:sz w:val="22"/>
                <w:szCs w:val="20"/>
              </w:rPr>
              <w:t xml:space="preserve">, </w:t>
            </w:r>
            <w:r>
              <w:rPr>
                <w:rFonts w:ascii="Courier New" w:hAnsi="Courier New" w:cs="Courier New"/>
                <w:sz w:val="22"/>
                <w:szCs w:val="20"/>
              </w:rPr>
              <w:t>lr=0,0005</w:t>
            </w:r>
            <w:r>
              <w:rPr>
                <w:rFonts w:ascii="Courier New" w:hAnsi="Courier New" w:cs="Courier New"/>
                <w:bCs/>
                <w:sz w:val="22"/>
                <w:szCs w:val="20"/>
              </w:rPr>
              <w:t xml:space="preserve">, </w:t>
            </w:r>
            <w:r>
              <w:rPr>
                <w:rFonts w:ascii="Courier New" w:hAnsi="Courier New" w:cs="Courier New"/>
                <w:sz w:val="22"/>
                <w:szCs w:val="20"/>
              </w:rPr>
              <w:t>weight_decay=0,001</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83F95">
            <w:pPr>
              <w:pStyle w:val="66"/>
              <w:rPr>
                <w:rFonts w:cs="Times New Roman"/>
                <w:sz w:val="20"/>
              </w:rPr>
            </w:pPr>
            <w:r>
              <w:rPr>
                <w:rFonts w:cs="Times New Roman"/>
                <w:bCs/>
                <w:sz w:val="20"/>
              </w:rPr>
              <w:t>3,0401</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C2B32">
            <w:pPr>
              <w:pStyle w:val="66"/>
              <w:rPr>
                <w:rFonts w:cs="Times New Roman"/>
                <w:sz w:val="20"/>
              </w:rPr>
            </w:pPr>
            <w:r>
              <w:rPr>
                <w:rFonts w:cs="Times New Roman"/>
                <w:bCs/>
                <w:sz w:val="20"/>
              </w:rPr>
              <w:t xml:space="preserve">Model utama penelitian dan sumber </w:t>
            </w:r>
            <w:r>
              <w:rPr>
                <w:rFonts w:cs="Times New Roman"/>
                <w:bCs/>
                <w:i/>
                <w:sz w:val="20"/>
              </w:rPr>
              <w:t>transfer learning</w:t>
            </w:r>
          </w:p>
        </w:tc>
      </w:tr>
      <w:tr w14:paraId="359C8A8F">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49D33">
            <w:pPr>
              <w:pStyle w:val="66"/>
              <w:rPr>
                <w:rFonts w:cs="Times New Roman"/>
                <w:i/>
                <w:sz w:val="20"/>
              </w:rPr>
            </w:pPr>
            <w:r>
              <w:rPr>
                <w:rFonts w:cs="Times New Roman"/>
                <w:bCs/>
                <w:i/>
                <w:sz w:val="20"/>
              </w:rPr>
              <w:t>Transformer Encoder-Only</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F614E">
            <w:pPr>
              <w:pStyle w:val="66"/>
              <w:rPr>
                <w:rFonts w:cs="Times New Roman"/>
                <w:sz w:val="20"/>
              </w:rPr>
            </w:pPr>
            <w:r>
              <w:rPr>
                <w:rFonts w:cs="Times New Roman"/>
                <w:bCs/>
                <w:sz w:val="20"/>
              </w:rPr>
              <w:t>BO</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4B485">
            <w:pPr>
              <w:spacing w:after="0" w:line="240" w:lineRule="auto"/>
              <w:jc w:val="left"/>
              <w:rPr>
                <w:rFonts w:ascii="Courier New" w:hAnsi="Courier New" w:cs="Courier New"/>
                <w:bCs/>
                <w:sz w:val="22"/>
                <w:szCs w:val="20"/>
              </w:rPr>
            </w:pPr>
            <w:r>
              <w:rPr>
                <w:rFonts w:ascii="Courier New" w:hAnsi="Courier New" w:cs="Courier New"/>
                <w:sz w:val="22"/>
                <w:szCs w:val="20"/>
              </w:rPr>
              <w:t>d_model=64</w:t>
            </w:r>
            <w:r>
              <w:rPr>
                <w:rFonts w:ascii="Courier New" w:hAnsi="Courier New" w:cs="Courier New"/>
                <w:bCs/>
                <w:sz w:val="22"/>
                <w:szCs w:val="20"/>
              </w:rPr>
              <w:t xml:space="preserve">, </w:t>
            </w:r>
            <w:r>
              <w:rPr>
                <w:rFonts w:ascii="Courier New" w:hAnsi="Courier New" w:cs="Courier New"/>
                <w:sz w:val="22"/>
                <w:szCs w:val="20"/>
              </w:rPr>
              <w:t>n_heads=6</w:t>
            </w:r>
            <w:r>
              <w:rPr>
                <w:rFonts w:ascii="Courier New" w:hAnsi="Courier New" w:cs="Courier New"/>
                <w:bCs/>
                <w:sz w:val="22"/>
                <w:szCs w:val="20"/>
              </w:rPr>
              <w:t xml:space="preserve">, </w:t>
            </w:r>
            <w:r>
              <w:rPr>
                <w:rFonts w:ascii="Courier New" w:hAnsi="Courier New" w:cs="Courier New"/>
                <w:sz w:val="22"/>
                <w:szCs w:val="20"/>
              </w:rPr>
              <w:t>n_layers=2</w:t>
            </w:r>
            <w:r>
              <w:rPr>
                <w:rFonts w:ascii="Courier New" w:hAnsi="Courier New" w:cs="Courier New"/>
                <w:bCs/>
                <w:sz w:val="22"/>
                <w:szCs w:val="20"/>
              </w:rPr>
              <w:t xml:space="preserve">, </w:t>
            </w:r>
            <w:r>
              <w:rPr>
                <w:rFonts w:ascii="Courier New" w:hAnsi="Courier New" w:cs="Courier New"/>
                <w:sz w:val="22"/>
                <w:szCs w:val="20"/>
              </w:rPr>
              <w:t>window_size=36</w:t>
            </w:r>
            <w:r>
              <w:rPr>
                <w:rFonts w:ascii="Courier New" w:hAnsi="Courier New" w:cs="Courier New"/>
                <w:bCs/>
                <w:sz w:val="22"/>
                <w:szCs w:val="20"/>
              </w:rPr>
              <w:t xml:space="preserve">, </w:t>
            </w:r>
            <w:r>
              <w:rPr>
                <w:rFonts w:ascii="Courier New" w:hAnsi="Courier New" w:cs="Courier New"/>
                <w:sz w:val="22"/>
                <w:szCs w:val="20"/>
              </w:rPr>
              <w:t>dropout=0,35</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E1B39">
            <w:pPr>
              <w:spacing w:after="0" w:line="240" w:lineRule="auto"/>
              <w:jc w:val="left"/>
              <w:rPr>
                <w:rFonts w:ascii="Courier New" w:hAnsi="Courier New" w:cs="Courier New"/>
                <w:bCs/>
                <w:sz w:val="22"/>
                <w:szCs w:val="20"/>
              </w:rPr>
            </w:pPr>
            <w:r>
              <w:rPr>
                <w:rFonts w:ascii="Courier New" w:hAnsi="Courier New" w:cs="Courier New"/>
                <w:sz w:val="22"/>
                <w:szCs w:val="20"/>
              </w:rPr>
              <w:t>batch_size=32</w:t>
            </w:r>
            <w:r>
              <w:rPr>
                <w:rFonts w:ascii="Courier New" w:hAnsi="Courier New" w:cs="Courier New"/>
                <w:bCs/>
                <w:sz w:val="22"/>
                <w:szCs w:val="20"/>
              </w:rPr>
              <w:t xml:space="preserve">, </w:t>
            </w:r>
            <w:r>
              <w:rPr>
                <w:rFonts w:ascii="Courier New" w:hAnsi="Courier New" w:cs="Courier New"/>
                <w:sz w:val="22"/>
                <w:szCs w:val="20"/>
              </w:rPr>
              <w:t>lr=0,00005</w:t>
            </w:r>
            <w:r>
              <w:rPr>
                <w:rFonts w:ascii="Courier New" w:hAnsi="Courier New" w:cs="Courier New"/>
                <w:bCs/>
                <w:sz w:val="22"/>
                <w:szCs w:val="20"/>
              </w:rPr>
              <w:t xml:space="preserve">, </w:t>
            </w:r>
            <w:r>
              <w:rPr>
                <w:rFonts w:ascii="Courier New" w:hAnsi="Courier New" w:cs="Courier New"/>
                <w:sz w:val="22"/>
                <w:szCs w:val="20"/>
              </w:rPr>
              <w:t>weight_decay=0,001</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7296E">
            <w:pPr>
              <w:pStyle w:val="66"/>
              <w:rPr>
                <w:rFonts w:cs="Times New Roman"/>
                <w:sz w:val="20"/>
              </w:rPr>
            </w:pPr>
            <w:r>
              <w:rPr>
                <w:rFonts w:cs="Times New Roman"/>
                <w:bCs/>
                <w:sz w:val="20"/>
              </w:rPr>
              <w:t>2,9934</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D44FE">
            <w:pPr>
              <w:pStyle w:val="66"/>
              <w:rPr>
                <w:rFonts w:cs="Times New Roman"/>
                <w:sz w:val="20"/>
              </w:rPr>
            </w:pPr>
            <w:r>
              <w:rPr>
                <w:rFonts w:cs="Times New Roman"/>
                <w:bCs/>
                <w:sz w:val="20"/>
              </w:rPr>
              <w:t>Transformer dengan RMSE HPO terbaik</w:t>
            </w:r>
          </w:p>
        </w:tc>
      </w:tr>
      <w:tr w14:paraId="4118CBDB">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C51F6">
            <w:pPr>
              <w:pStyle w:val="66"/>
              <w:rPr>
                <w:rFonts w:cs="Times New Roman"/>
                <w:i/>
                <w:sz w:val="20"/>
                <w:lang w:val="en-US"/>
              </w:rPr>
            </w:pPr>
            <w:r>
              <w:rPr>
                <w:rFonts w:cs="Times New Roman"/>
                <w:bCs/>
                <w:i/>
                <w:sz w:val="20"/>
              </w:rPr>
              <w:t xml:space="preserve">Transformer </w:t>
            </w:r>
            <w:r>
              <w:rPr>
                <w:rFonts w:cs="Times New Roman"/>
                <w:bCs/>
                <w:i/>
                <w:sz w:val="20"/>
                <w:lang w:val="en-US"/>
              </w:rPr>
              <w:t>Full</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252F">
            <w:pPr>
              <w:pStyle w:val="66"/>
              <w:rPr>
                <w:rFonts w:cs="Times New Roman"/>
                <w:sz w:val="20"/>
              </w:rPr>
            </w:pPr>
            <w:r>
              <w:rPr>
                <w:rFonts w:cs="Times New Roman"/>
                <w:bCs/>
                <w:sz w:val="20"/>
              </w:rPr>
              <w:t>BO</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C353F">
            <w:pPr>
              <w:spacing w:after="0" w:line="240" w:lineRule="auto"/>
              <w:jc w:val="left"/>
              <w:rPr>
                <w:rFonts w:ascii="Courier New" w:hAnsi="Courier New" w:cs="Courier New"/>
                <w:bCs/>
                <w:sz w:val="22"/>
                <w:szCs w:val="20"/>
              </w:rPr>
            </w:pPr>
            <w:r>
              <w:rPr>
                <w:rFonts w:ascii="Courier New" w:hAnsi="Courier New" w:cs="Courier New"/>
                <w:sz w:val="22"/>
                <w:szCs w:val="20"/>
              </w:rPr>
              <w:t>d_model=128</w:t>
            </w:r>
            <w:r>
              <w:rPr>
                <w:rFonts w:ascii="Courier New" w:hAnsi="Courier New" w:cs="Courier New"/>
                <w:bCs/>
                <w:sz w:val="22"/>
                <w:szCs w:val="20"/>
              </w:rPr>
              <w:t xml:space="preserve">, </w:t>
            </w:r>
            <w:r>
              <w:rPr>
                <w:rFonts w:ascii="Courier New" w:hAnsi="Courier New" w:cs="Courier New"/>
                <w:sz w:val="22"/>
                <w:szCs w:val="20"/>
              </w:rPr>
              <w:t>n_heads=4</w:t>
            </w:r>
            <w:r>
              <w:rPr>
                <w:rFonts w:ascii="Courier New" w:hAnsi="Courier New" w:cs="Courier New"/>
                <w:bCs/>
                <w:sz w:val="22"/>
                <w:szCs w:val="20"/>
              </w:rPr>
              <w:t xml:space="preserve">, </w:t>
            </w:r>
            <w:r>
              <w:rPr>
                <w:rFonts w:ascii="Courier New" w:hAnsi="Courier New" w:cs="Courier New"/>
                <w:sz w:val="22"/>
                <w:szCs w:val="20"/>
              </w:rPr>
              <w:t>n_layers=3</w:t>
            </w:r>
            <w:r>
              <w:rPr>
                <w:rFonts w:ascii="Courier New" w:hAnsi="Courier New" w:cs="Courier New"/>
                <w:bCs/>
                <w:sz w:val="22"/>
                <w:szCs w:val="20"/>
              </w:rPr>
              <w:t xml:space="preserve">, </w:t>
            </w:r>
            <w:r>
              <w:rPr>
                <w:rFonts w:ascii="Courier New" w:hAnsi="Courier New" w:cs="Courier New"/>
                <w:sz w:val="22"/>
                <w:szCs w:val="20"/>
              </w:rPr>
              <w:t>n_decoder_layers=2</w:t>
            </w:r>
            <w:r>
              <w:rPr>
                <w:rFonts w:ascii="Courier New" w:hAnsi="Courier New" w:cs="Courier New"/>
                <w:bCs/>
                <w:sz w:val="22"/>
                <w:szCs w:val="20"/>
              </w:rPr>
              <w:t xml:space="preserve">, </w:t>
            </w:r>
            <w:r>
              <w:rPr>
                <w:rFonts w:ascii="Courier New" w:hAnsi="Courier New" w:cs="Courier New"/>
                <w:sz w:val="22"/>
                <w:szCs w:val="20"/>
              </w:rPr>
              <w:t>window_size=36</w:t>
            </w:r>
            <w:r>
              <w:rPr>
                <w:rFonts w:ascii="Courier New" w:hAnsi="Courier New" w:cs="Courier New"/>
                <w:bCs/>
                <w:sz w:val="22"/>
                <w:szCs w:val="20"/>
              </w:rPr>
              <w:t xml:space="preserve">, </w:t>
            </w:r>
            <w:r>
              <w:rPr>
                <w:rFonts w:ascii="Courier New" w:hAnsi="Courier New" w:cs="Courier New"/>
                <w:sz w:val="22"/>
                <w:szCs w:val="20"/>
              </w:rPr>
              <w:t>dropout=0,35</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37C11">
            <w:pPr>
              <w:spacing w:after="0" w:line="240" w:lineRule="auto"/>
              <w:jc w:val="left"/>
              <w:rPr>
                <w:rFonts w:ascii="Courier New" w:hAnsi="Courier New" w:cs="Courier New"/>
                <w:bCs/>
                <w:sz w:val="22"/>
                <w:szCs w:val="20"/>
              </w:rPr>
            </w:pPr>
            <w:r>
              <w:rPr>
                <w:rFonts w:ascii="Courier New" w:hAnsi="Courier New" w:cs="Courier New"/>
                <w:sz w:val="22"/>
                <w:szCs w:val="20"/>
              </w:rPr>
              <w:t>batch_size=16</w:t>
            </w:r>
            <w:r>
              <w:rPr>
                <w:rFonts w:ascii="Courier New" w:hAnsi="Courier New" w:cs="Courier New"/>
                <w:bCs/>
                <w:sz w:val="22"/>
                <w:szCs w:val="20"/>
              </w:rPr>
              <w:t xml:space="preserve">, </w:t>
            </w:r>
            <w:r>
              <w:rPr>
                <w:rFonts w:ascii="Courier New" w:hAnsi="Courier New" w:cs="Courier New"/>
                <w:sz w:val="22"/>
                <w:szCs w:val="20"/>
              </w:rPr>
              <w:t>lr=0,00005</w:t>
            </w:r>
            <w:r>
              <w:rPr>
                <w:rFonts w:ascii="Courier New" w:hAnsi="Courier New" w:cs="Courier New"/>
                <w:bCs/>
                <w:sz w:val="22"/>
                <w:szCs w:val="20"/>
              </w:rPr>
              <w:t xml:space="preserve">, </w:t>
            </w:r>
            <w:r>
              <w:rPr>
                <w:rFonts w:ascii="Courier New" w:hAnsi="Courier New" w:cs="Courier New"/>
                <w:sz w:val="22"/>
                <w:szCs w:val="20"/>
              </w:rPr>
              <w:t>weight_decay=0,0005</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B6B46">
            <w:pPr>
              <w:pStyle w:val="66"/>
              <w:rPr>
                <w:rFonts w:cs="Times New Roman"/>
                <w:sz w:val="20"/>
              </w:rPr>
            </w:pPr>
            <w:r>
              <w:rPr>
                <w:rFonts w:cs="Times New Roman"/>
                <w:bCs/>
                <w:sz w:val="20"/>
              </w:rPr>
              <w:t>3,0479</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F20C3">
            <w:pPr>
              <w:pStyle w:val="66"/>
              <w:rPr>
                <w:rFonts w:cs="Times New Roman"/>
                <w:sz w:val="20"/>
              </w:rPr>
            </w:pPr>
            <w:r>
              <w:rPr>
                <w:rFonts w:cs="Times New Roman"/>
                <w:bCs/>
                <w:sz w:val="20"/>
              </w:rPr>
              <w:t>Ablasi Transformer penuh</w:t>
            </w:r>
          </w:p>
        </w:tc>
      </w:tr>
      <w:tr w14:paraId="1203ECBD">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16380">
            <w:pPr>
              <w:pStyle w:val="66"/>
              <w:rPr>
                <w:rFonts w:cs="Times New Roman"/>
                <w:sz w:val="20"/>
              </w:rPr>
            </w:pPr>
            <w:r>
              <w:rPr>
                <w:rFonts w:cs="Times New Roman"/>
                <w:bCs/>
                <w:sz w:val="20"/>
              </w:rPr>
              <w:t>GRU</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328A0">
            <w:pPr>
              <w:pStyle w:val="66"/>
              <w:rPr>
                <w:rFonts w:cs="Times New Roman"/>
                <w:sz w:val="20"/>
              </w:rPr>
            </w:pPr>
            <w:r>
              <w:rPr>
                <w:rFonts w:cs="Times New Roman"/>
                <w:bCs/>
                <w:sz w:val="20"/>
              </w:rPr>
              <w:t>IFPOA-X</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A572C">
            <w:pPr>
              <w:spacing w:after="0" w:line="240" w:lineRule="auto"/>
              <w:jc w:val="left"/>
              <w:rPr>
                <w:rFonts w:ascii="Courier New" w:hAnsi="Courier New" w:cs="Courier New"/>
                <w:bCs/>
                <w:sz w:val="22"/>
                <w:szCs w:val="20"/>
              </w:rPr>
            </w:pPr>
            <w:r>
              <w:rPr>
                <w:rFonts w:ascii="Courier New" w:hAnsi="Courier New" w:cs="Courier New"/>
                <w:sz w:val="22"/>
                <w:szCs w:val="20"/>
              </w:rPr>
              <w:t>hidden_size=112</w:t>
            </w:r>
            <w:r>
              <w:rPr>
                <w:rFonts w:ascii="Courier New" w:hAnsi="Courier New" w:cs="Courier New"/>
                <w:bCs/>
                <w:sz w:val="22"/>
                <w:szCs w:val="20"/>
              </w:rPr>
              <w:t xml:space="preserve">, </w:t>
            </w:r>
            <w:r>
              <w:rPr>
                <w:rFonts w:ascii="Courier New" w:hAnsi="Courier New" w:cs="Courier New"/>
                <w:sz w:val="22"/>
                <w:szCs w:val="20"/>
              </w:rPr>
              <w:t>num_layers=2</w:t>
            </w:r>
            <w:r>
              <w:rPr>
                <w:rFonts w:ascii="Courier New" w:hAnsi="Courier New" w:cs="Courier New"/>
                <w:bCs/>
                <w:sz w:val="22"/>
                <w:szCs w:val="20"/>
              </w:rPr>
              <w:t xml:space="preserve">, </w:t>
            </w:r>
            <w:r>
              <w:rPr>
                <w:rFonts w:ascii="Courier New" w:hAnsi="Courier New" w:cs="Courier New"/>
                <w:sz w:val="22"/>
                <w:szCs w:val="20"/>
              </w:rPr>
              <w:t>window_size=32</w:t>
            </w:r>
            <w:r>
              <w:rPr>
                <w:rFonts w:ascii="Courier New" w:hAnsi="Courier New" w:cs="Courier New"/>
                <w:bCs/>
                <w:sz w:val="22"/>
                <w:szCs w:val="20"/>
              </w:rPr>
              <w:t xml:space="preserve">, </w:t>
            </w:r>
            <w:r>
              <w:rPr>
                <w:rFonts w:ascii="Courier New" w:hAnsi="Courier New" w:cs="Courier New"/>
                <w:sz w:val="22"/>
                <w:szCs w:val="20"/>
              </w:rPr>
              <w:t>dropout=0,1784</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EECAD">
            <w:pPr>
              <w:spacing w:after="0" w:line="240" w:lineRule="auto"/>
              <w:jc w:val="left"/>
              <w:rPr>
                <w:rFonts w:ascii="Courier New" w:hAnsi="Courier New" w:cs="Courier New"/>
                <w:bCs/>
                <w:sz w:val="22"/>
                <w:szCs w:val="20"/>
              </w:rPr>
            </w:pPr>
            <w:r>
              <w:rPr>
                <w:rFonts w:ascii="Courier New" w:hAnsi="Courier New" w:cs="Courier New"/>
                <w:sz w:val="22"/>
                <w:szCs w:val="20"/>
              </w:rPr>
              <w:t>batch_size=32</w:t>
            </w:r>
            <w:r>
              <w:rPr>
                <w:rFonts w:ascii="Courier New" w:hAnsi="Courier New" w:cs="Courier New"/>
                <w:bCs/>
                <w:sz w:val="22"/>
                <w:szCs w:val="20"/>
              </w:rPr>
              <w:t xml:space="preserve">, </w:t>
            </w:r>
            <w:r>
              <w:rPr>
                <w:rFonts w:ascii="Courier New" w:hAnsi="Courier New" w:cs="Courier New"/>
                <w:sz w:val="22"/>
                <w:szCs w:val="20"/>
              </w:rPr>
              <w:t>lr=0,0003496</w:t>
            </w:r>
            <w:r>
              <w:rPr>
                <w:rFonts w:ascii="Courier New" w:hAnsi="Courier New" w:cs="Courier New"/>
                <w:bCs/>
                <w:sz w:val="22"/>
                <w:szCs w:val="20"/>
              </w:rPr>
              <w:t xml:space="preserve">, </w:t>
            </w:r>
            <w:r>
              <w:rPr>
                <w:rFonts w:ascii="Courier New" w:hAnsi="Courier New" w:cs="Courier New"/>
                <w:sz w:val="22"/>
                <w:szCs w:val="20"/>
              </w:rPr>
              <w:t>weight_decay=0,0000337</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AA3CE">
            <w:pPr>
              <w:pStyle w:val="66"/>
              <w:rPr>
                <w:rFonts w:cs="Times New Roman"/>
                <w:sz w:val="20"/>
              </w:rPr>
            </w:pPr>
            <w:r>
              <w:rPr>
                <w:rFonts w:cs="Times New Roman"/>
                <w:bCs/>
                <w:sz w:val="20"/>
              </w:rPr>
              <w:t>2,9931</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AF272">
            <w:pPr>
              <w:pStyle w:val="66"/>
              <w:rPr>
                <w:rFonts w:cs="Times New Roman"/>
                <w:sz w:val="20"/>
              </w:rPr>
            </w:pPr>
            <w:r>
              <w:rPr>
                <w:rFonts w:cs="Times New Roman"/>
                <w:bCs/>
                <w:sz w:val="20"/>
              </w:rPr>
              <w:t>Kombinasi terbaik keseluruhan pada HPO combined</w:t>
            </w:r>
          </w:p>
        </w:tc>
      </w:tr>
      <w:tr w14:paraId="44CC7A67">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DC2BC">
            <w:pPr>
              <w:pStyle w:val="66"/>
              <w:rPr>
                <w:rFonts w:cs="Times New Roman"/>
                <w:sz w:val="20"/>
              </w:rPr>
            </w:pPr>
            <w:r>
              <w:rPr>
                <w:rFonts w:cs="Times New Roman"/>
                <w:bCs/>
                <w:sz w:val="20"/>
              </w:rPr>
              <w:t>LSTM</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4895A">
            <w:pPr>
              <w:pStyle w:val="66"/>
              <w:rPr>
                <w:rFonts w:cs="Times New Roman"/>
                <w:sz w:val="20"/>
              </w:rPr>
            </w:pPr>
            <w:r>
              <w:rPr>
                <w:rFonts w:cs="Times New Roman"/>
                <w:bCs/>
                <w:sz w:val="20"/>
              </w:rPr>
              <w:t>BO</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6207C">
            <w:pPr>
              <w:spacing w:after="0" w:line="240" w:lineRule="auto"/>
              <w:jc w:val="left"/>
              <w:rPr>
                <w:rFonts w:ascii="Courier New" w:hAnsi="Courier New" w:cs="Courier New"/>
                <w:bCs/>
                <w:sz w:val="22"/>
                <w:szCs w:val="20"/>
              </w:rPr>
            </w:pPr>
            <w:r>
              <w:rPr>
                <w:rFonts w:ascii="Courier New" w:hAnsi="Courier New" w:cs="Courier New"/>
                <w:sz w:val="22"/>
                <w:szCs w:val="20"/>
              </w:rPr>
              <w:t>hidden_size=88</w:t>
            </w:r>
            <w:r>
              <w:rPr>
                <w:rFonts w:ascii="Courier New" w:hAnsi="Courier New" w:cs="Courier New"/>
                <w:bCs/>
                <w:sz w:val="22"/>
                <w:szCs w:val="20"/>
              </w:rPr>
              <w:t xml:space="preserve">, </w:t>
            </w:r>
            <w:r>
              <w:rPr>
                <w:rFonts w:ascii="Courier New" w:hAnsi="Courier New" w:cs="Courier New"/>
                <w:sz w:val="22"/>
                <w:szCs w:val="20"/>
              </w:rPr>
              <w:t>num_layers=1</w:t>
            </w:r>
            <w:r>
              <w:rPr>
                <w:rFonts w:ascii="Courier New" w:hAnsi="Courier New" w:cs="Courier New"/>
                <w:bCs/>
                <w:sz w:val="22"/>
                <w:szCs w:val="20"/>
              </w:rPr>
              <w:t xml:space="preserve">, </w:t>
            </w:r>
            <w:r>
              <w:rPr>
                <w:rFonts w:ascii="Courier New" w:hAnsi="Courier New" w:cs="Courier New"/>
                <w:sz w:val="22"/>
                <w:szCs w:val="20"/>
              </w:rPr>
              <w:t>window_size=25</w:t>
            </w:r>
            <w:r>
              <w:rPr>
                <w:rFonts w:ascii="Courier New" w:hAnsi="Courier New" w:cs="Courier New"/>
                <w:bCs/>
                <w:sz w:val="22"/>
                <w:szCs w:val="20"/>
              </w:rPr>
              <w:t xml:space="preserve">, </w:t>
            </w:r>
            <w:r>
              <w:rPr>
                <w:rFonts w:ascii="Courier New" w:hAnsi="Courier New" w:cs="Courier New"/>
                <w:sz w:val="22"/>
                <w:szCs w:val="20"/>
              </w:rPr>
              <w:t>dropout=0,2044</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8DFE9">
            <w:pPr>
              <w:spacing w:after="0" w:line="240" w:lineRule="auto"/>
              <w:jc w:val="left"/>
              <w:rPr>
                <w:rFonts w:ascii="Courier New" w:hAnsi="Courier New" w:cs="Courier New"/>
                <w:bCs/>
                <w:sz w:val="22"/>
                <w:szCs w:val="20"/>
              </w:rPr>
            </w:pPr>
            <w:r>
              <w:rPr>
                <w:rFonts w:ascii="Courier New" w:hAnsi="Courier New" w:cs="Courier New"/>
                <w:sz w:val="22"/>
                <w:szCs w:val="20"/>
              </w:rPr>
              <w:t>batch_size=8</w:t>
            </w:r>
            <w:r>
              <w:rPr>
                <w:rFonts w:ascii="Courier New" w:hAnsi="Courier New" w:cs="Courier New"/>
                <w:bCs/>
                <w:sz w:val="22"/>
                <w:szCs w:val="20"/>
              </w:rPr>
              <w:t xml:space="preserve">, </w:t>
            </w:r>
            <w:r>
              <w:rPr>
                <w:rFonts w:ascii="Courier New" w:hAnsi="Courier New" w:cs="Courier New"/>
                <w:sz w:val="22"/>
                <w:szCs w:val="20"/>
              </w:rPr>
              <w:t>lr=0,0016757</w:t>
            </w:r>
            <w:r>
              <w:rPr>
                <w:rFonts w:ascii="Courier New" w:hAnsi="Courier New" w:cs="Courier New"/>
                <w:bCs/>
                <w:sz w:val="22"/>
                <w:szCs w:val="20"/>
              </w:rPr>
              <w:t xml:space="preserve">, </w:t>
            </w:r>
            <w:r>
              <w:rPr>
                <w:rFonts w:ascii="Courier New" w:hAnsi="Courier New" w:cs="Courier New"/>
                <w:sz w:val="22"/>
                <w:szCs w:val="20"/>
              </w:rPr>
              <w:t>weight_decay=0,0061697</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29D3A">
            <w:pPr>
              <w:pStyle w:val="66"/>
              <w:rPr>
                <w:rFonts w:cs="Times New Roman"/>
                <w:sz w:val="20"/>
              </w:rPr>
            </w:pPr>
            <w:r>
              <w:rPr>
                <w:rFonts w:cs="Times New Roman"/>
                <w:bCs/>
                <w:sz w:val="20"/>
              </w:rPr>
              <w:t>3,0048</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67AAA">
            <w:pPr>
              <w:pStyle w:val="66"/>
              <w:rPr>
                <w:rFonts w:cs="Times New Roman"/>
                <w:sz w:val="20"/>
              </w:rPr>
            </w:pPr>
            <w:r>
              <w:rPr>
                <w:rFonts w:cs="Times New Roman"/>
                <w:bCs/>
                <w:sz w:val="20"/>
              </w:rPr>
              <w:t>Baseline RNN satu arah</w:t>
            </w:r>
          </w:p>
        </w:tc>
      </w:tr>
      <w:tr w14:paraId="5F9701FB">
        <w:tblPrEx>
          <w:tblCellMar>
            <w:top w:w="0" w:type="dxa"/>
            <w:left w:w="108" w:type="dxa"/>
            <w:bottom w:w="0" w:type="dxa"/>
            <w:right w:w="108" w:type="dxa"/>
          </w:tblCellMar>
        </w:tblPrEx>
        <w:tc>
          <w:tcPr>
            <w:tcW w:w="9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08ACF">
            <w:pPr>
              <w:pStyle w:val="66"/>
              <w:rPr>
                <w:rFonts w:cs="Times New Roman"/>
                <w:sz w:val="20"/>
              </w:rPr>
            </w:pPr>
            <w:r>
              <w:rPr>
                <w:rFonts w:cs="Times New Roman"/>
                <w:bCs/>
                <w:sz w:val="20"/>
              </w:rPr>
              <w:t>BiLSTM</w:t>
            </w:r>
          </w:p>
        </w:tc>
        <w:tc>
          <w:tcPr>
            <w:tcW w:w="7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A2801">
            <w:pPr>
              <w:pStyle w:val="66"/>
              <w:rPr>
                <w:rFonts w:cs="Times New Roman"/>
                <w:sz w:val="20"/>
              </w:rPr>
            </w:pPr>
            <w:r>
              <w:rPr>
                <w:rFonts w:cs="Times New Roman"/>
                <w:bCs/>
                <w:sz w:val="20"/>
              </w:rPr>
              <w:t>BO</w:t>
            </w:r>
          </w:p>
        </w:tc>
        <w:tc>
          <w:tcPr>
            <w:tcW w:w="8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D6B22">
            <w:pPr>
              <w:spacing w:after="0" w:line="240" w:lineRule="auto"/>
              <w:jc w:val="left"/>
              <w:rPr>
                <w:rFonts w:ascii="Courier New" w:hAnsi="Courier New" w:cs="Courier New"/>
                <w:bCs/>
                <w:sz w:val="22"/>
                <w:szCs w:val="20"/>
              </w:rPr>
            </w:pPr>
            <w:r>
              <w:rPr>
                <w:rFonts w:ascii="Courier New" w:hAnsi="Courier New" w:cs="Courier New"/>
                <w:sz w:val="22"/>
                <w:szCs w:val="20"/>
              </w:rPr>
              <w:t>hidden_size=112</w:t>
            </w:r>
            <w:r>
              <w:rPr>
                <w:rFonts w:ascii="Courier New" w:hAnsi="Courier New" w:cs="Courier New"/>
                <w:bCs/>
                <w:sz w:val="22"/>
                <w:szCs w:val="20"/>
              </w:rPr>
              <w:t xml:space="preserve">, </w:t>
            </w:r>
            <w:r>
              <w:rPr>
                <w:rFonts w:ascii="Courier New" w:hAnsi="Courier New" w:cs="Courier New"/>
                <w:sz w:val="22"/>
                <w:szCs w:val="20"/>
              </w:rPr>
              <w:t>num_layers=2</w:t>
            </w:r>
            <w:r>
              <w:rPr>
                <w:rFonts w:ascii="Courier New" w:hAnsi="Courier New" w:cs="Courier New"/>
                <w:bCs/>
                <w:sz w:val="22"/>
                <w:szCs w:val="20"/>
              </w:rPr>
              <w:t xml:space="preserve">, </w:t>
            </w:r>
            <w:r>
              <w:rPr>
                <w:rFonts w:ascii="Courier New" w:hAnsi="Courier New" w:cs="Courier New"/>
                <w:sz w:val="22"/>
                <w:szCs w:val="20"/>
              </w:rPr>
              <w:t>window_size=27</w:t>
            </w:r>
            <w:r>
              <w:rPr>
                <w:rFonts w:ascii="Courier New" w:hAnsi="Courier New" w:cs="Courier New"/>
                <w:bCs/>
                <w:sz w:val="22"/>
                <w:szCs w:val="20"/>
              </w:rPr>
              <w:t xml:space="preserve">, </w:t>
            </w:r>
            <w:r>
              <w:rPr>
                <w:rFonts w:ascii="Courier New" w:hAnsi="Courier New" w:cs="Courier New"/>
                <w:sz w:val="22"/>
                <w:szCs w:val="20"/>
              </w:rPr>
              <w:t>dropout=0,1329</w:t>
            </w:r>
          </w:p>
        </w:tc>
        <w:tc>
          <w:tcPr>
            <w:tcW w:w="9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3B6BE">
            <w:pPr>
              <w:spacing w:after="0" w:line="240" w:lineRule="auto"/>
              <w:jc w:val="left"/>
              <w:rPr>
                <w:rFonts w:ascii="Courier New" w:hAnsi="Courier New" w:cs="Courier New"/>
                <w:bCs/>
                <w:sz w:val="22"/>
                <w:szCs w:val="20"/>
              </w:rPr>
            </w:pPr>
            <w:r>
              <w:rPr>
                <w:rFonts w:ascii="Courier New" w:hAnsi="Courier New" w:cs="Courier New"/>
                <w:sz w:val="22"/>
                <w:szCs w:val="20"/>
              </w:rPr>
              <w:t>batch_size=24</w:t>
            </w:r>
            <w:r>
              <w:rPr>
                <w:rFonts w:ascii="Courier New" w:hAnsi="Courier New" w:cs="Courier New"/>
                <w:bCs/>
                <w:sz w:val="22"/>
                <w:szCs w:val="20"/>
              </w:rPr>
              <w:t xml:space="preserve">, </w:t>
            </w:r>
            <w:r>
              <w:rPr>
                <w:rFonts w:ascii="Courier New" w:hAnsi="Courier New" w:cs="Courier New"/>
                <w:sz w:val="22"/>
                <w:szCs w:val="20"/>
              </w:rPr>
              <w:t>lr=0,0002246</w:t>
            </w:r>
            <w:r>
              <w:rPr>
                <w:rFonts w:ascii="Courier New" w:hAnsi="Courier New" w:cs="Courier New"/>
                <w:bCs/>
                <w:sz w:val="22"/>
                <w:szCs w:val="20"/>
              </w:rPr>
              <w:t xml:space="preserve">, </w:t>
            </w:r>
            <w:r>
              <w:rPr>
                <w:rFonts w:ascii="Courier New" w:hAnsi="Courier New" w:cs="Courier New"/>
                <w:sz w:val="22"/>
                <w:szCs w:val="20"/>
              </w:rPr>
              <w:t>weight_decay=0,0080112</w:t>
            </w:r>
          </w:p>
        </w:tc>
        <w:tc>
          <w:tcPr>
            <w:tcW w:w="6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66420">
            <w:pPr>
              <w:pStyle w:val="66"/>
              <w:rPr>
                <w:rFonts w:cs="Times New Roman"/>
                <w:sz w:val="20"/>
              </w:rPr>
            </w:pPr>
            <w:r>
              <w:rPr>
                <w:rFonts w:cs="Times New Roman"/>
                <w:bCs/>
                <w:sz w:val="20"/>
              </w:rPr>
              <w:t>3,0033</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BF5F1">
            <w:pPr>
              <w:pStyle w:val="66"/>
              <w:rPr>
                <w:rFonts w:cs="Times New Roman"/>
                <w:sz w:val="20"/>
              </w:rPr>
            </w:pPr>
            <w:r>
              <w:rPr>
                <w:rFonts w:cs="Times New Roman"/>
                <w:bCs/>
                <w:sz w:val="20"/>
              </w:rPr>
              <w:t>Baseline RNN dua arah</w:t>
            </w:r>
          </w:p>
        </w:tc>
      </w:tr>
    </w:tbl>
    <w:p w14:paraId="3F33D572">
      <w:pPr>
        <w:spacing w:before="240"/>
        <w:ind w:firstLine="720"/>
        <w:rPr>
          <w:lang w:val="en-US"/>
        </w:rPr>
      </w:pPr>
      <w:r>
        <w:t xml:space="preserve">Dari </w:t>
      </w:r>
      <w:r>
        <w:rPr>
          <w:lang w:val="en-US"/>
        </w:rPr>
        <w:t>T</w:t>
      </w:r>
      <w:r>
        <w:t>abel</w:t>
      </w:r>
      <w:r>
        <w:rPr>
          <w:lang w:val="en-US"/>
        </w:rPr>
        <w:t xml:space="preserve"> 4. 8</w:t>
      </w:r>
      <w:r>
        <w:t xml:space="preserve"> tersebut terlihat bahwa kombinasi terbaik secara numerik pada tahap HPO adalah GRU + IFPOA-X dengan RMSE mean H1-H6 sebesar 2,9931. Namun, selisihnya terhadap </w:t>
      </w:r>
      <w:r>
        <w:rPr>
          <w:i/>
          <w:iCs/>
        </w:rPr>
        <w:t xml:space="preserve">Transformer Encoder-Only </w:t>
      </w:r>
      <w:r>
        <w:t xml:space="preserve">+ BO sangat kecil, yaitu sekitar 0,0004. Untuk model usulan ToMarx, IFPOA-X memilih arsitektur </w:t>
      </w:r>
      <w:r>
        <w:rPr>
          <w:i/>
        </w:rPr>
        <w:t>Transformer</w:t>
      </w:r>
      <w:r>
        <w:t xml:space="preserve"> yang relatif kecil (</w:t>
      </w:r>
      <w:r>
        <w:rPr>
          <w:rFonts w:ascii="Courier New" w:hAnsi="Courier New" w:cs="Courier New"/>
          <w:bCs/>
          <w:sz w:val="20"/>
          <w:szCs w:val="20"/>
        </w:rPr>
        <w:t>d_model</w:t>
      </w:r>
      <w:r>
        <w:t xml:space="preserve">=64, dua layer </w:t>
      </w:r>
      <w:r>
        <w:rPr>
          <w:i/>
          <w:iCs/>
        </w:rPr>
        <w:t>encoder</w:t>
      </w:r>
      <w:r>
        <w:t xml:space="preserve">, empat </w:t>
      </w:r>
      <w:r>
        <w:rPr>
          <w:i/>
          <w:iCs/>
        </w:rPr>
        <w:t>head</w:t>
      </w:r>
      <w:r>
        <w:t>, dan window 36 dasarian). Konfigurasi ini menunjukkan kecenderungan HPO untuk memilih model yang tidak terlalu besar agar tetap stabil pada data curah hujan dasarian yang noisy dan terbatas.</w:t>
      </w:r>
      <w:r>
        <w:rPr>
          <w:lang w:val="en-US"/>
        </w:rPr>
        <w:t xml:space="preserve"> </w:t>
      </w:r>
    </w:p>
    <w:p w14:paraId="42905965">
      <w:pPr>
        <w:pStyle w:val="3"/>
      </w:pPr>
      <w:bookmarkStart w:id="122" w:name="_Toc236076761"/>
      <w:r>
        <w:t>4.4 Hasil Pelatihan Model pada Wilayah Sumber</w:t>
      </w:r>
      <w:bookmarkEnd w:id="122"/>
    </w:p>
    <w:p w14:paraId="36C24F82">
      <w:pPr>
        <w:ind w:firstLine="720"/>
      </w:pPr>
      <w:r>
        <w:rPr>
          <w:lang w:val="en-US"/>
        </w:rPr>
        <w:t xml:space="preserve">Bagian ini mengevaluasi enam </w:t>
      </w:r>
      <w:r>
        <w:rPr>
          <w:i/>
          <w:lang w:val="en-US"/>
        </w:rPr>
        <w:t>checkpoint</w:t>
      </w:r>
      <w:r>
        <w:rPr>
          <w:lang w:val="en-US"/>
        </w:rPr>
        <w:t xml:space="preserve"> final pada wilayah sumber, yaitu ToMarx–IFPOA-X, </w:t>
      </w:r>
      <w:r>
        <w:rPr>
          <w:i/>
          <w:lang w:val="en-US"/>
        </w:rPr>
        <w:t>EncoderOnly</w:t>
      </w:r>
      <w:r>
        <w:rPr>
          <w:lang w:val="en-US"/>
        </w:rPr>
        <w:t xml:space="preserve">–BO, </w:t>
      </w:r>
      <w:r>
        <w:rPr>
          <w:i/>
          <w:lang w:val="en-US"/>
        </w:rPr>
        <w:t>TransformerFull</w:t>
      </w:r>
      <w:r>
        <w:rPr>
          <w:lang w:val="en-US"/>
        </w:rPr>
        <w:t xml:space="preserve">–BO, GRU–IFPOA-X, LSTM–BO, dan BiLSTM–BO. Penamaan algoritma HPO dipertahankan pada setiap model untuk mencegah tercampurnya dua konfigurasi </w:t>
      </w:r>
      <w:r>
        <w:rPr>
          <w:i/>
          <w:lang w:val="en-US"/>
        </w:rPr>
        <w:t xml:space="preserve">Transformer Encoder-Only </w:t>
      </w:r>
      <w:r>
        <w:rPr>
          <w:lang w:val="en-US"/>
        </w:rPr>
        <w:t xml:space="preserve">yang memiliki arsitektur dan hasil berbeda. ToMarx–IFPOA-X ditetapkan sebagai model utama penelitian dan digunakan pada tahap </w:t>
      </w:r>
      <w:r>
        <w:rPr>
          <w:i/>
          <w:lang w:val="en-US"/>
        </w:rPr>
        <w:t>transfer learning</w:t>
      </w:r>
      <w:r>
        <w:rPr>
          <w:lang w:val="en-US"/>
        </w:rPr>
        <w:t xml:space="preserve">, sedangkan </w:t>
      </w:r>
      <w:r>
        <w:rPr>
          <w:i/>
          <w:lang w:val="en-US"/>
        </w:rPr>
        <w:t>EncoderOnly</w:t>
      </w:r>
      <w:r>
        <w:rPr>
          <w:lang w:val="en-US"/>
        </w:rPr>
        <w:t>–BO diposisikan sebagai pembanding yang menunjukkan performa terbaik arsitektur sejenis ketika dioptimasi menggunakan BO</w:t>
      </w:r>
      <w:r>
        <w:t>.</w:t>
      </w:r>
    </w:p>
    <w:p w14:paraId="57710392">
      <w:pPr>
        <w:pStyle w:val="4"/>
      </w:pPr>
      <w:bookmarkStart w:id="123" w:name="_Toc236076762"/>
      <w:r>
        <w:t>4.4.1 Ranking Model Terbaik pada Wilayah Sumber</w:t>
      </w:r>
      <w:bookmarkEnd w:id="123"/>
    </w:p>
    <w:p w14:paraId="25A2CD9C">
      <w:pPr>
        <w:pStyle w:val="5"/>
        <w:spacing w:before="0"/>
        <w:ind w:firstLine="720"/>
      </w:pPr>
      <w:r>
        <w:t>Tabel 4.</w:t>
      </w:r>
      <w:r>
        <w:rPr>
          <w:lang w:val="en-US"/>
        </w:rPr>
        <w:t xml:space="preserve"> 9</w:t>
      </w:r>
      <w:r>
        <w:t xml:space="preserve"> menyajikan ranking baru berdasarkan rerata RMSE test H1–H6. LSTM + BO menempati peringkat pertama dengan RMSE 80,9019 mm, diikuti </w:t>
      </w:r>
      <w:r>
        <w:rPr>
          <w:i/>
        </w:rPr>
        <w:t>Transformer Encoder-Only</w:t>
      </w:r>
      <w:r>
        <w:t xml:space="preserve"> + BO sebesar 81,6421 mm dan GRU + IFPOA-X sebesar 82,1260 mm. ToMarx berada pada peringkat kelima dengan RMSE 84,6996 mm, sedangkan </w:t>
      </w:r>
      <w:r>
        <w:rPr>
          <w:i/>
        </w:rPr>
        <w:t>Transformer Encoder-Decoder</w:t>
      </w:r>
      <w:r>
        <w:t xml:space="preserve"> + BO memiliki RMSE tertinggi, yaitu 87,7575 mm. Hasil ini berbeda dari ranking HPO karena retraining menghasilkan bobot baru dan evaluasi final dilakukan pada test set serta skala mm, bukan pada metrik validasi HPO.</w:t>
      </w:r>
    </w:p>
    <w:p w14:paraId="71B69DC7">
      <w:pPr>
        <w:pStyle w:val="11"/>
        <w:keepNext/>
        <w:jc w:val="center"/>
        <w:rPr>
          <w:b/>
          <w:i w:val="0"/>
          <w:color w:val="auto"/>
          <w:sz w:val="24"/>
        </w:rPr>
      </w:pPr>
      <w:bookmarkStart w:id="124" w:name="_Toc236786432"/>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9</w:t>
      </w:r>
      <w:r>
        <w:rPr>
          <w:b/>
          <w:i w:val="0"/>
          <w:color w:val="auto"/>
          <w:sz w:val="24"/>
        </w:rPr>
        <w:fldChar w:fldCharType="end"/>
      </w:r>
      <w:r>
        <w:rPr>
          <w:b/>
          <w:i w:val="0"/>
          <w:color w:val="auto"/>
          <w:sz w:val="24"/>
          <w:lang w:val="en-US"/>
        </w:rPr>
        <w:t xml:space="preserve"> Ranking Final Model setelah Retraining</w:t>
      </w:r>
      <w:bookmarkEnd w:id="124"/>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382"/>
        <w:gridCol w:w="1134"/>
        <w:gridCol w:w="992"/>
        <w:gridCol w:w="992"/>
        <w:gridCol w:w="781"/>
        <w:gridCol w:w="996"/>
        <w:gridCol w:w="903"/>
      </w:tblGrid>
      <w:tr w14:paraId="13D2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05CFDFC5">
            <w:pPr>
              <w:pStyle w:val="68"/>
              <w:jc w:val="center"/>
              <w:rPr>
                <w:rFonts w:cs="Times New Roman"/>
                <w:b/>
                <w:sz w:val="22"/>
              </w:rPr>
            </w:pPr>
            <w:r>
              <w:rPr>
                <w:rFonts w:cs="Times New Roman"/>
                <w:b/>
                <w:sz w:val="22"/>
              </w:rPr>
              <w:t>Rank</w:t>
            </w:r>
          </w:p>
        </w:tc>
        <w:tc>
          <w:tcPr>
            <w:tcW w:w="1382" w:type="dxa"/>
            <w:vAlign w:val="center"/>
          </w:tcPr>
          <w:p w14:paraId="12C84171">
            <w:pPr>
              <w:pStyle w:val="68"/>
              <w:jc w:val="center"/>
              <w:rPr>
                <w:rFonts w:cs="Times New Roman"/>
                <w:b/>
                <w:sz w:val="22"/>
              </w:rPr>
            </w:pPr>
            <w:r>
              <w:rPr>
                <w:rFonts w:cs="Times New Roman"/>
                <w:b/>
                <w:sz w:val="22"/>
              </w:rPr>
              <w:t>Model final</w:t>
            </w:r>
          </w:p>
        </w:tc>
        <w:tc>
          <w:tcPr>
            <w:tcW w:w="1134" w:type="dxa"/>
            <w:vAlign w:val="center"/>
          </w:tcPr>
          <w:p w14:paraId="27833A5C">
            <w:pPr>
              <w:pStyle w:val="68"/>
              <w:jc w:val="center"/>
              <w:rPr>
                <w:rFonts w:cs="Times New Roman"/>
                <w:b/>
                <w:sz w:val="22"/>
              </w:rPr>
            </w:pPr>
            <w:r>
              <w:rPr>
                <w:rFonts w:cs="Times New Roman"/>
                <w:b/>
                <w:sz w:val="22"/>
              </w:rPr>
              <w:t>HPO</w:t>
            </w:r>
          </w:p>
        </w:tc>
        <w:tc>
          <w:tcPr>
            <w:tcW w:w="992" w:type="dxa"/>
            <w:vAlign w:val="center"/>
          </w:tcPr>
          <w:p w14:paraId="706298A3">
            <w:pPr>
              <w:pStyle w:val="68"/>
              <w:jc w:val="center"/>
              <w:rPr>
                <w:rFonts w:cs="Times New Roman"/>
                <w:b/>
                <w:sz w:val="22"/>
              </w:rPr>
            </w:pPr>
            <w:r>
              <w:rPr>
                <w:rFonts w:cs="Times New Roman"/>
                <w:b/>
                <w:sz w:val="22"/>
              </w:rPr>
              <w:t>RMSE mean (mm)</w:t>
            </w:r>
          </w:p>
        </w:tc>
        <w:tc>
          <w:tcPr>
            <w:tcW w:w="992" w:type="dxa"/>
            <w:vAlign w:val="center"/>
          </w:tcPr>
          <w:p w14:paraId="11868E6B">
            <w:pPr>
              <w:pStyle w:val="68"/>
              <w:jc w:val="center"/>
              <w:rPr>
                <w:rFonts w:cs="Times New Roman"/>
                <w:b/>
                <w:sz w:val="22"/>
              </w:rPr>
            </w:pPr>
            <w:r>
              <w:rPr>
                <w:rFonts w:cs="Times New Roman"/>
                <w:b/>
                <w:sz w:val="22"/>
              </w:rPr>
              <w:t>MAE mean (mm)</w:t>
            </w:r>
          </w:p>
        </w:tc>
        <w:tc>
          <w:tcPr>
            <w:tcW w:w="781" w:type="dxa"/>
            <w:vAlign w:val="center"/>
          </w:tcPr>
          <w:p w14:paraId="7212533E">
            <w:pPr>
              <w:pStyle w:val="68"/>
              <w:jc w:val="center"/>
              <w:rPr>
                <w:rFonts w:cs="Times New Roman"/>
                <w:b/>
                <w:sz w:val="22"/>
              </w:rPr>
            </w:pPr>
            <w:r>
              <w:rPr>
                <w:rFonts w:cs="Times New Roman"/>
                <w:b/>
                <w:sz w:val="22"/>
              </w:rPr>
              <w:t>R</w:t>
            </w:r>
            <w:r>
              <w:rPr>
                <w:rFonts w:cs="Times New Roman"/>
                <w:b/>
                <w:sz w:val="22"/>
                <w:vertAlign w:val="superscript"/>
              </w:rPr>
              <w:t>2</w:t>
            </w:r>
            <w:r>
              <w:rPr>
                <w:rFonts w:cs="Times New Roman"/>
                <w:b/>
                <w:sz w:val="22"/>
              </w:rPr>
              <w:t xml:space="preserve"> mean</w:t>
            </w:r>
          </w:p>
        </w:tc>
        <w:tc>
          <w:tcPr>
            <w:tcW w:w="996" w:type="dxa"/>
            <w:vAlign w:val="center"/>
          </w:tcPr>
          <w:p w14:paraId="44107074">
            <w:pPr>
              <w:pStyle w:val="68"/>
              <w:jc w:val="center"/>
              <w:rPr>
                <w:rFonts w:cs="Times New Roman"/>
                <w:b/>
                <w:sz w:val="22"/>
              </w:rPr>
            </w:pPr>
            <w:r>
              <w:rPr>
                <w:rFonts w:cs="Times New Roman"/>
                <w:b/>
                <w:sz w:val="22"/>
              </w:rPr>
              <w:t>CRPS</w:t>
            </w:r>
          </w:p>
        </w:tc>
        <w:tc>
          <w:tcPr>
            <w:tcW w:w="903" w:type="dxa"/>
            <w:vAlign w:val="center"/>
          </w:tcPr>
          <w:p w14:paraId="45B6E097">
            <w:pPr>
              <w:pStyle w:val="68"/>
              <w:jc w:val="center"/>
              <w:rPr>
                <w:rFonts w:cs="Times New Roman"/>
                <w:b/>
                <w:sz w:val="22"/>
              </w:rPr>
            </w:pPr>
            <w:r>
              <w:rPr>
                <w:rFonts w:cs="Times New Roman"/>
                <w:b/>
                <w:sz w:val="22"/>
              </w:rPr>
              <w:t>FLOPs</w:t>
            </w:r>
          </w:p>
        </w:tc>
      </w:tr>
      <w:tr w14:paraId="5A34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1C224492">
            <w:pPr>
              <w:pStyle w:val="68"/>
              <w:jc w:val="center"/>
              <w:rPr>
                <w:rFonts w:cs="Times New Roman"/>
                <w:sz w:val="22"/>
              </w:rPr>
            </w:pPr>
            <w:r>
              <w:rPr>
                <w:rFonts w:cs="Times New Roman"/>
                <w:sz w:val="22"/>
              </w:rPr>
              <w:t>1</w:t>
            </w:r>
          </w:p>
        </w:tc>
        <w:tc>
          <w:tcPr>
            <w:tcW w:w="1382" w:type="dxa"/>
            <w:vAlign w:val="center"/>
          </w:tcPr>
          <w:p w14:paraId="69AD50AE">
            <w:pPr>
              <w:pStyle w:val="68"/>
              <w:jc w:val="center"/>
              <w:rPr>
                <w:rFonts w:cs="Times New Roman"/>
                <w:sz w:val="22"/>
              </w:rPr>
            </w:pPr>
            <w:r>
              <w:rPr>
                <w:rFonts w:cs="Times New Roman"/>
                <w:sz w:val="22"/>
              </w:rPr>
              <w:t>LSTM</w:t>
            </w:r>
          </w:p>
        </w:tc>
        <w:tc>
          <w:tcPr>
            <w:tcW w:w="1134" w:type="dxa"/>
            <w:vAlign w:val="center"/>
          </w:tcPr>
          <w:p w14:paraId="38FD1387">
            <w:pPr>
              <w:pStyle w:val="68"/>
              <w:jc w:val="center"/>
              <w:rPr>
                <w:rFonts w:cs="Times New Roman"/>
                <w:sz w:val="22"/>
              </w:rPr>
            </w:pPr>
            <w:r>
              <w:rPr>
                <w:rFonts w:cs="Times New Roman"/>
                <w:sz w:val="22"/>
              </w:rPr>
              <w:t>BO</w:t>
            </w:r>
          </w:p>
        </w:tc>
        <w:tc>
          <w:tcPr>
            <w:tcW w:w="992" w:type="dxa"/>
            <w:vAlign w:val="center"/>
          </w:tcPr>
          <w:p w14:paraId="5FE30698">
            <w:pPr>
              <w:pStyle w:val="68"/>
              <w:jc w:val="center"/>
              <w:rPr>
                <w:rFonts w:cs="Times New Roman"/>
                <w:b/>
                <w:sz w:val="22"/>
              </w:rPr>
            </w:pPr>
            <w:r>
              <w:rPr>
                <w:rFonts w:cs="Times New Roman"/>
                <w:b/>
                <w:sz w:val="22"/>
              </w:rPr>
              <w:t>80,9019</w:t>
            </w:r>
          </w:p>
        </w:tc>
        <w:tc>
          <w:tcPr>
            <w:tcW w:w="992" w:type="dxa"/>
            <w:vAlign w:val="center"/>
          </w:tcPr>
          <w:p w14:paraId="2380EC48">
            <w:pPr>
              <w:pStyle w:val="68"/>
              <w:jc w:val="center"/>
              <w:rPr>
                <w:rFonts w:cs="Times New Roman"/>
                <w:b/>
                <w:sz w:val="22"/>
              </w:rPr>
            </w:pPr>
            <w:r>
              <w:rPr>
                <w:rFonts w:cs="Times New Roman"/>
                <w:b/>
                <w:sz w:val="22"/>
              </w:rPr>
              <w:t>58,4973</w:t>
            </w:r>
          </w:p>
        </w:tc>
        <w:tc>
          <w:tcPr>
            <w:tcW w:w="781" w:type="dxa"/>
            <w:vAlign w:val="center"/>
          </w:tcPr>
          <w:p w14:paraId="23F551B0">
            <w:pPr>
              <w:pStyle w:val="68"/>
              <w:jc w:val="center"/>
              <w:rPr>
                <w:rFonts w:cs="Times New Roman"/>
                <w:b/>
                <w:sz w:val="20"/>
              </w:rPr>
            </w:pPr>
            <w:r>
              <w:rPr>
                <w:rFonts w:cs="Times New Roman"/>
                <w:b/>
                <w:sz w:val="20"/>
              </w:rPr>
              <w:t>0,4479</w:t>
            </w:r>
          </w:p>
        </w:tc>
        <w:tc>
          <w:tcPr>
            <w:tcW w:w="996" w:type="dxa"/>
            <w:vAlign w:val="center"/>
          </w:tcPr>
          <w:p w14:paraId="154B8403">
            <w:pPr>
              <w:pStyle w:val="68"/>
              <w:jc w:val="center"/>
              <w:rPr>
                <w:rFonts w:cs="Times New Roman"/>
                <w:sz w:val="22"/>
              </w:rPr>
            </w:pPr>
            <w:r>
              <w:rPr>
                <w:rFonts w:cs="Times New Roman"/>
                <w:sz w:val="22"/>
              </w:rPr>
              <w:t>43,3106</w:t>
            </w:r>
          </w:p>
        </w:tc>
        <w:tc>
          <w:tcPr>
            <w:tcW w:w="903" w:type="dxa"/>
            <w:vAlign w:val="center"/>
          </w:tcPr>
          <w:p w14:paraId="0D142DFA">
            <w:pPr>
              <w:pStyle w:val="68"/>
              <w:jc w:val="center"/>
              <w:rPr>
                <w:rFonts w:cs="Times New Roman"/>
                <w:sz w:val="22"/>
              </w:rPr>
            </w:pPr>
            <w:r>
              <w:rPr>
                <w:rFonts w:cs="Times New Roman"/>
                <w:sz w:val="22"/>
              </w:rPr>
              <w:t>1,94e6</w:t>
            </w:r>
          </w:p>
        </w:tc>
      </w:tr>
      <w:tr w14:paraId="6524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2AA69768">
            <w:pPr>
              <w:pStyle w:val="68"/>
              <w:jc w:val="center"/>
              <w:rPr>
                <w:rFonts w:cs="Times New Roman"/>
                <w:sz w:val="22"/>
              </w:rPr>
            </w:pPr>
            <w:r>
              <w:rPr>
                <w:rFonts w:cs="Times New Roman"/>
                <w:sz w:val="22"/>
              </w:rPr>
              <w:t>2</w:t>
            </w:r>
          </w:p>
        </w:tc>
        <w:tc>
          <w:tcPr>
            <w:tcW w:w="1382" w:type="dxa"/>
            <w:vAlign w:val="center"/>
          </w:tcPr>
          <w:p w14:paraId="540B2CF3">
            <w:pPr>
              <w:pStyle w:val="68"/>
              <w:jc w:val="center"/>
              <w:rPr>
                <w:rFonts w:cs="Times New Roman"/>
                <w:i/>
                <w:sz w:val="22"/>
              </w:rPr>
            </w:pPr>
            <w:r>
              <w:rPr>
                <w:rFonts w:cs="Times New Roman"/>
                <w:i/>
                <w:sz w:val="22"/>
              </w:rPr>
              <w:t>Transformer Encoder-Only</w:t>
            </w:r>
          </w:p>
        </w:tc>
        <w:tc>
          <w:tcPr>
            <w:tcW w:w="1134" w:type="dxa"/>
            <w:vAlign w:val="center"/>
          </w:tcPr>
          <w:p w14:paraId="4BC83AA5">
            <w:pPr>
              <w:pStyle w:val="68"/>
              <w:jc w:val="center"/>
              <w:rPr>
                <w:rFonts w:cs="Times New Roman"/>
                <w:sz w:val="22"/>
              </w:rPr>
            </w:pPr>
            <w:r>
              <w:rPr>
                <w:rFonts w:cs="Times New Roman"/>
                <w:sz w:val="22"/>
              </w:rPr>
              <w:t>BO</w:t>
            </w:r>
          </w:p>
        </w:tc>
        <w:tc>
          <w:tcPr>
            <w:tcW w:w="992" w:type="dxa"/>
            <w:vAlign w:val="center"/>
          </w:tcPr>
          <w:p w14:paraId="5B7EBA02">
            <w:pPr>
              <w:pStyle w:val="68"/>
              <w:jc w:val="center"/>
              <w:rPr>
                <w:rFonts w:cs="Times New Roman"/>
                <w:sz w:val="22"/>
              </w:rPr>
            </w:pPr>
            <w:r>
              <w:rPr>
                <w:rFonts w:cs="Times New Roman"/>
                <w:sz w:val="22"/>
              </w:rPr>
              <w:t>81,6421</w:t>
            </w:r>
          </w:p>
        </w:tc>
        <w:tc>
          <w:tcPr>
            <w:tcW w:w="992" w:type="dxa"/>
            <w:vAlign w:val="center"/>
          </w:tcPr>
          <w:p w14:paraId="27B2D869">
            <w:pPr>
              <w:pStyle w:val="68"/>
              <w:jc w:val="center"/>
              <w:rPr>
                <w:rFonts w:cs="Times New Roman"/>
                <w:sz w:val="22"/>
              </w:rPr>
            </w:pPr>
            <w:r>
              <w:rPr>
                <w:rFonts w:cs="Times New Roman"/>
                <w:sz w:val="22"/>
              </w:rPr>
              <w:t>59,6890</w:t>
            </w:r>
          </w:p>
        </w:tc>
        <w:tc>
          <w:tcPr>
            <w:tcW w:w="781" w:type="dxa"/>
            <w:vAlign w:val="center"/>
          </w:tcPr>
          <w:p w14:paraId="13250D63">
            <w:pPr>
              <w:pStyle w:val="68"/>
              <w:jc w:val="center"/>
              <w:rPr>
                <w:rFonts w:cs="Times New Roman"/>
                <w:sz w:val="20"/>
              </w:rPr>
            </w:pPr>
            <w:r>
              <w:rPr>
                <w:rFonts w:cs="Times New Roman"/>
                <w:sz w:val="20"/>
              </w:rPr>
              <w:t>0,4400</w:t>
            </w:r>
          </w:p>
        </w:tc>
        <w:tc>
          <w:tcPr>
            <w:tcW w:w="996" w:type="dxa"/>
            <w:vAlign w:val="center"/>
          </w:tcPr>
          <w:p w14:paraId="0F7F4F42">
            <w:pPr>
              <w:pStyle w:val="68"/>
              <w:jc w:val="center"/>
              <w:rPr>
                <w:rFonts w:cs="Times New Roman"/>
                <w:sz w:val="22"/>
              </w:rPr>
            </w:pPr>
            <w:r>
              <w:rPr>
                <w:rFonts w:cs="Times New Roman"/>
                <w:sz w:val="22"/>
              </w:rPr>
              <w:t>44,1604</w:t>
            </w:r>
          </w:p>
        </w:tc>
        <w:tc>
          <w:tcPr>
            <w:tcW w:w="903" w:type="dxa"/>
            <w:vAlign w:val="center"/>
          </w:tcPr>
          <w:p w14:paraId="2210449C">
            <w:pPr>
              <w:pStyle w:val="68"/>
              <w:jc w:val="center"/>
              <w:rPr>
                <w:rFonts w:cs="Times New Roman"/>
                <w:sz w:val="22"/>
              </w:rPr>
            </w:pPr>
            <w:r>
              <w:rPr>
                <w:rFonts w:cs="Times New Roman"/>
                <w:sz w:val="22"/>
              </w:rPr>
              <w:t>3,71e6</w:t>
            </w:r>
          </w:p>
        </w:tc>
      </w:tr>
      <w:tr w14:paraId="7B38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52AE627B">
            <w:pPr>
              <w:pStyle w:val="68"/>
              <w:jc w:val="center"/>
              <w:rPr>
                <w:rFonts w:cs="Times New Roman"/>
                <w:sz w:val="22"/>
              </w:rPr>
            </w:pPr>
            <w:r>
              <w:rPr>
                <w:rFonts w:cs="Times New Roman"/>
                <w:sz w:val="22"/>
              </w:rPr>
              <w:t>3</w:t>
            </w:r>
          </w:p>
        </w:tc>
        <w:tc>
          <w:tcPr>
            <w:tcW w:w="1382" w:type="dxa"/>
            <w:vAlign w:val="center"/>
          </w:tcPr>
          <w:p w14:paraId="0704E00E">
            <w:pPr>
              <w:pStyle w:val="68"/>
              <w:jc w:val="center"/>
              <w:rPr>
                <w:rFonts w:cs="Times New Roman"/>
                <w:sz w:val="22"/>
              </w:rPr>
            </w:pPr>
            <w:r>
              <w:rPr>
                <w:rFonts w:cs="Times New Roman"/>
                <w:sz w:val="22"/>
              </w:rPr>
              <w:t>GRU</w:t>
            </w:r>
          </w:p>
        </w:tc>
        <w:tc>
          <w:tcPr>
            <w:tcW w:w="1134" w:type="dxa"/>
            <w:vAlign w:val="center"/>
          </w:tcPr>
          <w:p w14:paraId="6114249E">
            <w:pPr>
              <w:pStyle w:val="68"/>
              <w:jc w:val="center"/>
              <w:rPr>
                <w:rFonts w:cs="Times New Roman"/>
                <w:sz w:val="22"/>
              </w:rPr>
            </w:pPr>
            <w:r>
              <w:rPr>
                <w:rFonts w:cs="Times New Roman"/>
                <w:sz w:val="22"/>
              </w:rPr>
              <w:t>IFPOA-X</w:t>
            </w:r>
          </w:p>
        </w:tc>
        <w:tc>
          <w:tcPr>
            <w:tcW w:w="992" w:type="dxa"/>
            <w:vAlign w:val="center"/>
          </w:tcPr>
          <w:p w14:paraId="5CCDAFB1">
            <w:pPr>
              <w:pStyle w:val="68"/>
              <w:jc w:val="center"/>
              <w:rPr>
                <w:rFonts w:cs="Times New Roman"/>
                <w:sz w:val="22"/>
              </w:rPr>
            </w:pPr>
            <w:r>
              <w:rPr>
                <w:rFonts w:cs="Times New Roman"/>
                <w:sz w:val="22"/>
              </w:rPr>
              <w:t>82,1260</w:t>
            </w:r>
          </w:p>
        </w:tc>
        <w:tc>
          <w:tcPr>
            <w:tcW w:w="992" w:type="dxa"/>
            <w:vAlign w:val="center"/>
          </w:tcPr>
          <w:p w14:paraId="59DA0186">
            <w:pPr>
              <w:pStyle w:val="68"/>
              <w:jc w:val="center"/>
              <w:rPr>
                <w:rFonts w:cs="Times New Roman"/>
                <w:sz w:val="22"/>
              </w:rPr>
            </w:pPr>
            <w:r>
              <w:rPr>
                <w:rFonts w:cs="Times New Roman"/>
                <w:sz w:val="22"/>
              </w:rPr>
              <w:t>59,4304</w:t>
            </w:r>
          </w:p>
        </w:tc>
        <w:tc>
          <w:tcPr>
            <w:tcW w:w="781" w:type="dxa"/>
            <w:vAlign w:val="center"/>
          </w:tcPr>
          <w:p w14:paraId="1B7964EC">
            <w:pPr>
              <w:pStyle w:val="68"/>
              <w:jc w:val="center"/>
              <w:rPr>
                <w:rFonts w:cs="Times New Roman"/>
                <w:sz w:val="20"/>
              </w:rPr>
            </w:pPr>
            <w:r>
              <w:rPr>
                <w:rFonts w:cs="Times New Roman"/>
                <w:sz w:val="20"/>
              </w:rPr>
              <w:t>0,4330</w:t>
            </w:r>
          </w:p>
        </w:tc>
        <w:tc>
          <w:tcPr>
            <w:tcW w:w="996" w:type="dxa"/>
            <w:vAlign w:val="center"/>
          </w:tcPr>
          <w:p w14:paraId="1B217326">
            <w:pPr>
              <w:pStyle w:val="68"/>
              <w:jc w:val="center"/>
              <w:rPr>
                <w:rFonts w:cs="Times New Roman"/>
                <w:sz w:val="22"/>
              </w:rPr>
            </w:pPr>
            <w:r>
              <w:rPr>
                <w:rFonts w:cs="Times New Roman"/>
                <w:sz w:val="22"/>
              </w:rPr>
              <w:t>44,1050</w:t>
            </w:r>
          </w:p>
        </w:tc>
        <w:tc>
          <w:tcPr>
            <w:tcW w:w="903" w:type="dxa"/>
            <w:vAlign w:val="center"/>
          </w:tcPr>
          <w:p w14:paraId="6D4B423B">
            <w:pPr>
              <w:pStyle w:val="68"/>
              <w:jc w:val="center"/>
              <w:rPr>
                <w:rFonts w:cs="Times New Roman"/>
                <w:sz w:val="22"/>
              </w:rPr>
            </w:pPr>
            <w:r>
              <w:rPr>
                <w:rFonts w:cs="Times New Roman"/>
                <w:sz w:val="22"/>
              </w:rPr>
              <w:t>7,68e6</w:t>
            </w:r>
          </w:p>
        </w:tc>
      </w:tr>
      <w:tr w14:paraId="0F72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4DDAAB72">
            <w:pPr>
              <w:pStyle w:val="68"/>
              <w:jc w:val="center"/>
              <w:rPr>
                <w:rFonts w:cs="Times New Roman"/>
                <w:sz w:val="22"/>
              </w:rPr>
            </w:pPr>
            <w:r>
              <w:rPr>
                <w:rFonts w:cs="Times New Roman"/>
                <w:sz w:val="22"/>
              </w:rPr>
              <w:t>4</w:t>
            </w:r>
          </w:p>
        </w:tc>
        <w:tc>
          <w:tcPr>
            <w:tcW w:w="1382" w:type="dxa"/>
            <w:vAlign w:val="center"/>
          </w:tcPr>
          <w:p w14:paraId="58F0045D">
            <w:pPr>
              <w:pStyle w:val="68"/>
              <w:jc w:val="center"/>
              <w:rPr>
                <w:rFonts w:cs="Times New Roman"/>
                <w:sz w:val="22"/>
              </w:rPr>
            </w:pPr>
            <w:r>
              <w:rPr>
                <w:rFonts w:cs="Times New Roman"/>
                <w:sz w:val="22"/>
              </w:rPr>
              <w:t>BiLSTM</w:t>
            </w:r>
          </w:p>
        </w:tc>
        <w:tc>
          <w:tcPr>
            <w:tcW w:w="1134" w:type="dxa"/>
            <w:vAlign w:val="center"/>
          </w:tcPr>
          <w:p w14:paraId="0AE4365C">
            <w:pPr>
              <w:pStyle w:val="68"/>
              <w:jc w:val="center"/>
              <w:rPr>
                <w:rFonts w:cs="Times New Roman"/>
                <w:sz w:val="22"/>
              </w:rPr>
            </w:pPr>
            <w:r>
              <w:rPr>
                <w:rFonts w:cs="Times New Roman"/>
                <w:sz w:val="22"/>
              </w:rPr>
              <w:t>BO</w:t>
            </w:r>
          </w:p>
        </w:tc>
        <w:tc>
          <w:tcPr>
            <w:tcW w:w="992" w:type="dxa"/>
            <w:vAlign w:val="center"/>
          </w:tcPr>
          <w:p w14:paraId="70062157">
            <w:pPr>
              <w:pStyle w:val="68"/>
              <w:jc w:val="center"/>
              <w:rPr>
                <w:rFonts w:cs="Times New Roman"/>
                <w:sz w:val="22"/>
              </w:rPr>
            </w:pPr>
            <w:r>
              <w:rPr>
                <w:rFonts w:cs="Times New Roman"/>
                <w:sz w:val="22"/>
              </w:rPr>
              <w:t>82,8530</w:t>
            </w:r>
          </w:p>
        </w:tc>
        <w:tc>
          <w:tcPr>
            <w:tcW w:w="992" w:type="dxa"/>
            <w:vAlign w:val="center"/>
          </w:tcPr>
          <w:p w14:paraId="3639F01B">
            <w:pPr>
              <w:pStyle w:val="68"/>
              <w:jc w:val="center"/>
              <w:rPr>
                <w:rFonts w:cs="Times New Roman"/>
                <w:sz w:val="22"/>
              </w:rPr>
            </w:pPr>
            <w:r>
              <w:rPr>
                <w:rFonts w:cs="Times New Roman"/>
                <w:sz w:val="22"/>
              </w:rPr>
              <w:t>59,6043</w:t>
            </w:r>
          </w:p>
        </w:tc>
        <w:tc>
          <w:tcPr>
            <w:tcW w:w="781" w:type="dxa"/>
            <w:vAlign w:val="center"/>
          </w:tcPr>
          <w:p w14:paraId="67BD0C0E">
            <w:pPr>
              <w:pStyle w:val="68"/>
              <w:jc w:val="center"/>
              <w:rPr>
                <w:rFonts w:cs="Times New Roman"/>
                <w:sz w:val="20"/>
              </w:rPr>
            </w:pPr>
            <w:r>
              <w:rPr>
                <w:rFonts w:cs="Times New Roman"/>
                <w:sz w:val="20"/>
              </w:rPr>
              <w:t>0,4216</w:t>
            </w:r>
          </w:p>
        </w:tc>
        <w:tc>
          <w:tcPr>
            <w:tcW w:w="996" w:type="dxa"/>
            <w:vAlign w:val="center"/>
          </w:tcPr>
          <w:p w14:paraId="5A846387">
            <w:pPr>
              <w:pStyle w:val="68"/>
              <w:jc w:val="center"/>
              <w:rPr>
                <w:rFonts w:cs="Times New Roman"/>
                <w:sz w:val="22"/>
              </w:rPr>
            </w:pPr>
            <w:r>
              <w:rPr>
                <w:rFonts w:cs="Times New Roman"/>
                <w:sz w:val="22"/>
              </w:rPr>
              <w:t>44,4386</w:t>
            </w:r>
          </w:p>
        </w:tc>
        <w:tc>
          <w:tcPr>
            <w:tcW w:w="903" w:type="dxa"/>
            <w:vAlign w:val="center"/>
          </w:tcPr>
          <w:p w14:paraId="23EB2835">
            <w:pPr>
              <w:pStyle w:val="68"/>
              <w:jc w:val="center"/>
              <w:rPr>
                <w:rFonts w:cs="Times New Roman"/>
                <w:sz w:val="22"/>
              </w:rPr>
            </w:pPr>
            <w:r>
              <w:rPr>
                <w:rFonts w:cs="Times New Roman"/>
                <w:sz w:val="22"/>
              </w:rPr>
              <w:t>6,11e6</w:t>
            </w:r>
          </w:p>
        </w:tc>
      </w:tr>
      <w:tr w14:paraId="015B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2CBD15FE">
            <w:pPr>
              <w:pStyle w:val="68"/>
              <w:jc w:val="center"/>
              <w:rPr>
                <w:rFonts w:cs="Times New Roman"/>
                <w:sz w:val="22"/>
              </w:rPr>
            </w:pPr>
            <w:r>
              <w:rPr>
                <w:rFonts w:cs="Times New Roman"/>
                <w:sz w:val="22"/>
              </w:rPr>
              <w:t>5</w:t>
            </w:r>
          </w:p>
        </w:tc>
        <w:tc>
          <w:tcPr>
            <w:tcW w:w="1382" w:type="dxa"/>
            <w:vAlign w:val="center"/>
          </w:tcPr>
          <w:p w14:paraId="6D0173A8">
            <w:pPr>
              <w:pStyle w:val="68"/>
              <w:jc w:val="center"/>
              <w:rPr>
                <w:rFonts w:cs="Times New Roman"/>
                <w:sz w:val="22"/>
              </w:rPr>
            </w:pPr>
            <w:r>
              <w:rPr>
                <w:rFonts w:cs="Times New Roman"/>
                <w:i/>
                <w:sz w:val="22"/>
              </w:rPr>
              <w:t>Transformer Encoder-Only</w:t>
            </w:r>
            <w:r>
              <w:rPr>
                <w:rFonts w:cs="Times New Roman"/>
                <w:sz w:val="22"/>
              </w:rPr>
              <w:t xml:space="preserve"> (ToMarx)</w:t>
            </w:r>
          </w:p>
        </w:tc>
        <w:tc>
          <w:tcPr>
            <w:tcW w:w="1134" w:type="dxa"/>
            <w:vAlign w:val="center"/>
          </w:tcPr>
          <w:p w14:paraId="6BBEF1AF">
            <w:pPr>
              <w:pStyle w:val="68"/>
              <w:jc w:val="center"/>
              <w:rPr>
                <w:rFonts w:cs="Times New Roman"/>
                <w:sz w:val="22"/>
              </w:rPr>
            </w:pPr>
            <w:r>
              <w:rPr>
                <w:rFonts w:cs="Times New Roman"/>
                <w:sz w:val="22"/>
              </w:rPr>
              <w:t>IFPOA-X</w:t>
            </w:r>
          </w:p>
        </w:tc>
        <w:tc>
          <w:tcPr>
            <w:tcW w:w="992" w:type="dxa"/>
            <w:vAlign w:val="center"/>
          </w:tcPr>
          <w:p w14:paraId="174AB7F2">
            <w:pPr>
              <w:pStyle w:val="68"/>
              <w:jc w:val="center"/>
              <w:rPr>
                <w:rFonts w:cs="Times New Roman"/>
                <w:sz w:val="22"/>
              </w:rPr>
            </w:pPr>
            <w:r>
              <w:rPr>
                <w:rFonts w:cs="Times New Roman"/>
                <w:sz w:val="22"/>
              </w:rPr>
              <w:t>84,6996</w:t>
            </w:r>
          </w:p>
        </w:tc>
        <w:tc>
          <w:tcPr>
            <w:tcW w:w="992" w:type="dxa"/>
            <w:vAlign w:val="center"/>
          </w:tcPr>
          <w:p w14:paraId="287F6BA6">
            <w:pPr>
              <w:pStyle w:val="68"/>
              <w:jc w:val="center"/>
              <w:rPr>
                <w:rFonts w:cs="Times New Roman"/>
                <w:sz w:val="22"/>
              </w:rPr>
            </w:pPr>
            <w:r>
              <w:rPr>
                <w:rFonts w:cs="Times New Roman"/>
                <w:sz w:val="22"/>
              </w:rPr>
              <w:t>62,5811</w:t>
            </w:r>
          </w:p>
        </w:tc>
        <w:tc>
          <w:tcPr>
            <w:tcW w:w="781" w:type="dxa"/>
            <w:vAlign w:val="center"/>
          </w:tcPr>
          <w:p w14:paraId="3B5183A4">
            <w:pPr>
              <w:pStyle w:val="68"/>
              <w:jc w:val="center"/>
              <w:rPr>
                <w:rFonts w:cs="Times New Roman"/>
                <w:sz w:val="20"/>
              </w:rPr>
            </w:pPr>
            <w:r>
              <w:rPr>
                <w:rFonts w:cs="Times New Roman"/>
                <w:sz w:val="20"/>
              </w:rPr>
              <w:t>0,3979</w:t>
            </w:r>
          </w:p>
        </w:tc>
        <w:tc>
          <w:tcPr>
            <w:tcW w:w="996" w:type="dxa"/>
            <w:vAlign w:val="center"/>
          </w:tcPr>
          <w:p w14:paraId="4133F73B">
            <w:pPr>
              <w:pStyle w:val="68"/>
              <w:jc w:val="center"/>
              <w:rPr>
                <w:rFonts w:cs="Times New Roman"/>
                <w:sz w:val="22"/>
              </w:rPr>
            </w:pPr>
            <w:r>
              <w:rPr>
                <w:rFonts w:cs="Times New Roman"/>
                <w:sz w:val="22"/>
              </w:rPr>
              <w:t>46,0651</w:t>
            </w:r>
          </w:p>
        </w:tc>
        <w:tc>
          <w:tcPr>
            <w:tcW w:w="903" w:type="dxa"/>
            <w:vAlign w:val="center"/>
          </w:tcPr>
          <w:p w14:paraId="01A0654F">
            <w:pPr>
              <w:pStyle w:val="68"/>
              <w:jc w:val="center"/>
              <w:rPr>
                <w:rFonts w:cs="Times New Roman"/>
                <w:sz w:val="22"/>
              </w:rPr>
            </w:pPr>
            <w:r>
              <w:rPr>
                <w:rFonts w:cs="Times New Roman"/>
                <w:sz w:val="22"/>
              </w:rPr>
              <w:t>3,71e6</w:t>
            </w:r>
          </w:p>
        </w:tc>
      </w:tr>
      <w:tr w14:paraId="7718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vAlign w:val="center"/>
          </w:tcPr>
          <w:p w14:paraId="235EC602">
            <w:pPr>
              <w:pStyle w:val="68"/>
              <w:jc w:val="center"/>
              <w:rPr>
                <w:rFonts w:cs="Times New Roman"/>
                <w:sz w:val="22"/>
              </w:rPr>
            </w:pPr>
            <w:r>
              <w:rPr>
                <w:rFonts w:cs="Times New Roman"/>
                <w:sz w:val="22"/>
              </w:rPr>
              <w:t>6</w:t>
            </w:r>
          </w:p>
        </w:tc>
        <w:tc>
          <w:tcPr>
            <w:tcW w:w="1382" w:type="dxa"/>
            <w:vAlign w:val="center"/>
          </w:tcPr>
          <w:p w14:paraId="05DEF19D">
            <w:pPr>
              <w:pStyle w:val="68"/>
              <w:jc w:val="center"/>
              <w:rPr>
                <w:rFonts w:cs="Times New Roman"/>
                <w:i/>
                <w:sz w:val="22"/>
              </w:rPr>
            </w:pPr>
            <w:r>
              <w:rPr>
                <w:rFonts w:cs="Times New Roman"/>
                <w:i/>
                <w:sz w:val="22"/>
              </w:rPr>
              <w:t>Transformer Encoder-Decoder</w:t>
            </w:r>
          </w:p>
        </w:tc>
        <w:tc>
          <w:tcPr>
            <w:tcW w:w="1134" w:type="dxa"/>
            <w:vAlign w:val="center"/>
          </w:tcPr>
          <w:p w14:paraId="54E7C5AD">
            <w:pPr>
              <w:pStyle w:val="68"/>
              <w:jc w:val="center"/>
              <w:rPr>
                <w:rFonts w:cs="Times New Roman"/>
                <w:sz w:val="22"/>
              </w:rPr>
            </w:pPr>
            <w:r>
              <w:rPr>
                <w:rFonts w:cs="Times New Roman"/>
                <w:sz w:val="22"/>
              </w:rPr>
              <w:t>BO</w:t>
            </w:r>
          </w:p>
        </w:tc>
        <w:tc>
          <w:tcPr>
            <w:tcW w:w="992" w:type="dxa"/>
            <w:vAlign w:val="center"/>
          </w:tcPr>
          <w:p w14:paraId="5A97516E">
            <w:pPr>
              <w:pStyle w:val="68"/>
              <w:jc w:val="center"/>
              <w:rPr>
                <w:rFonts w:cs="Times New Roman"/>
                <w:sz w:val="22"/>
              </w:rPr>
            </w:pPr>
            <w:r>
              <w:rPr>
                <w:rFonts w:cs="Times New Roman"/>
                <w:sz w:val="22"/>
              </w:rPr>
              <w:t>87,7575</w:t>
            </w:r>
          </w:p>
        </w:tc>
        <w:tc>
          <w:tcPr>
            <w:tcW w:w="992" w:type="dxa"/>
            <w:vAlign w:val="center"/>
          </w:tcPr>
          <w:p w14:paraId="7A1BC75E">
            <w:pPr>
              <w:pStyle w:val="68"/>
              <w:jc w:val="center"/>
              <w:rPr>
                <w:rFonts w:cs="Times New Roman"/>
                <w:sz w:val="22"/>
              </w:rPr>
            </w:pPr>
            <w:r>
              <w:rPr>
                <w:rFonts w:cs="Times New Roman"/>
                <w:sz w:val="22"/>
              </w:rPr>
              <w:t>65,2282</w:t>
            </w:r>
          </w:p>
        </w:tc>
        <w:tc>
          <w:tcPr>
            <w:tcW w:w="781" w:type="dxa"/>
            <w:vAlign w:val="center"/>
          </w:tcPr>
          <w:p w14:paraId="16BC5C42">
            <w:pPr>
              <w:pStyle w:val="68"/>
              <w:jc w:val="center"/>
              <w:rPr>
                <w:rFonts w:cs="Times New Roman"/>
                <w:sz w:val="20"/>
              </w:rPr>
            </w:pPr>
            <w:r>
              <w:rPr>
                <w:rFonts w:cs="Times New Roman"/>
                <w:sz w:val="20"/>
              </w:rPr>
              <w:t>0,3535</w:t>
            </w:r>
          </w:p>
        </w:tc>
        <w:tc>
          <w:tcPr>
            <w:tcW w:w="996" w:type="dxa"/>
            <w:vAlign w:val="center"/>
          </w:tcPr>
          <w:p w14:paraId="532C143C">
            <w:pPr>
              <w:pStyle w:val="68"/>
              <w:jc w:val="center"/>
              <w:rPr>
                <w:rFonts w:cs="Times New Roman"/>
                <w:sz w:val="22"/>
              </w:rPr>
            </w:pPr>
            <w:r>
              <w:rPr>
                <w:rFonts w:cs="Times New Roman"/>
                <w:sz w:val="22"/>
              </w:rPr>
              <w:t>48,1508</w:t>
            </w:r>
          </w:p>
        </w:tc>
        <w:tc>
          <w:tcPr>
            <w:tcW w:w="903" w:type="dxa"/>
            <w:vAlign w:val="center"/>
          </w:tcPr>
          <w:p w14:paraId="5D112DD8">
            <w:pPr>
              <w:pStyle w:val="68"/>
              <w:jc w:val="center"/>
              <w:rPr>
                <w:rFonts w:cs="Times New Roman"/>
                <w:sz w:val="22"/>
              </w:rPr>
            </w:pPr>
            <w:r>
              <w:rPr>
                <w:rFonts w:cs="Times New Roman"/>
                <w:sz w:val="22"/>
              </w:rPr>
              <w:t>2,45e7</w:t>
            </w:r>
          </w:p>
        </w:tc>
      </w:tr>
    </w:tbl>
    <w:p w14:paraId="041E1A4A">
      <w:pPr>
        <w:spacing w:before="240"/>
        <w:ind w:firstLine="720"/>
        <w:rPr>
          <w:rFonts w:cs="Times New Roman"/>
          <w:lang w:val="en-US"/>
        </w:rPr>
      </w:pPr>
      <w:r>
        <w:rPr>
          <w:lang w:val="en-US"/>
        </w:rPr>
        <w:t xml:space="preserve">Untuk melengkapi pembacaan Tabel 4. 9, Gambar 4. 21 memperlihatkan ranking RMSE keenam </w:t>
      </w:r>
      <w:r>
        <w:rPr>
          <w:i/>
          <w:lang w:val="en-US"/>
        </w:rPr>
        <w:t>checkpoint</w:t>
      </w:r>
      <w:r>
        <w:rPr>
          <w:lang w:val="en-US"/>
        </w:rPr>
        <w:t xml:space="preserve"> final. Selisih LSTM</w:t>
      </w:r>
      <w:r>
        <w:rPr>
          <w:i/>
          <w:lang w:val="en-US"/>
        </w:rPr>
        <w:t>, Transformer Encoder-Only</w:t>
      </w:r>
      <w:r>
        <w:rPr>
          <w:lang w:val="en-US"/>
        </w:rPr>
        <w:t xml:space="preserve"> + BO, GRU, dan BiLSTM relatif kecil, sedangkan ToMarx dan </w:t>
      </w:r>
      <w:r>
        <w:rPr>
          <w:i/>
          <w:lang w:val="en-US"/>
        </w:rPr>
        <w:t>Transformer Full</w:t>
      </w:r>
      <w:r>
        <w:rPr>
          <w:lang w:val="en-US"/>
        </w:rPr>
        <w:t xml:space="preserve"> berada pada RMSE yang lebih tinggi</w:t>
      </w:r>
      <w:r>
        <w:t>.</w:t>
      </w:r>
      <w:r>
        <w:rPr>
          <w:lang w:val="en-US"/>
        </w:rPr>
        <w:t xml:space="preserve"> </w:t>
      </w:r>
    </w:p>
    <w:p w14:paraId="11E33F0F">
      <w:pPr>
        <w:jc w:val="center"/>
      </w:pPr>
      <w:r>
        <w:drawing>
          <wp:inline distT="0" distB="0" distL="114300" distR="114300">
            <wp:extent cx="4971415" cy="3314700"/>
            <wp:effectExtent l="0" t="0" r="635" b="0"/>
            <wp:docPr id="1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07327" cy="3338220"/>
                    </a:xfrm>
                    <a:prstGeom prst="rect">
                      <a:avLst/>
                    </a:prstGeom>
                    <a:noFill/>
                    <a:ln w="9525">
                      <a:noFill/>
                    </a:ln>
                  </pic:spPr>
                </pic:pic>
              </a:graphicData>
            </a:graphic>
          </wp:inline>
        </w:drawing>
      </w:r>
    </w:p>
    <w:p w14:paraId="55F6E270">
      <w:pPr>
        <w:spacing w:after="0"/>
        <w:jc w:val="center"/>
        <w:rPr>
          <w:b/>
          <w:lang w:val="en-US"/>
        </w:rPr>
      </w:pPr>
      <w:bookmarkStart w:id="125" w:name="_Toc236077432"/>
      <w:r>
        <w:rPr>
          <w:b/>
        </w:rPr>
        <w:t xml:space="preserve">Gambar 4. </w:t>
      </w:r>
      <w:r>
        <w:rPr>
          <w:b/>
        </w:rPr>
        <w:fldChar w:fldCharType="begin"/>
      </w:r>
      <w:r>
        <w:rPr>
          <w:b/>
        </w:rPr>
        <w:instrText xml:space="preserve"> SEQ Gambar_4. \* ARABIC </w:instrText>
      </w:r>
      <w:r>
        <w:rPr>
          <w:b/>
        </w:rPr>
        <w:fldChar w:fldCharType="separate"/>
      </w:r>
      <w:r>
        <w:rPr>
          <w:b/>
        </w:rPr>
        <w:t>21</w:t>
      </w:r>
      <w:r>
        <w:rPr>
          <w:b/>
        </w:rPr>
        <w:fldChar w:fldCharType="end"/>
      </w:r>
      <w:r>
        <w:rPr>
          <w:b/>
          <w:lang w:val="en-US"/>
        </w:rPr>
        <w:t xml:space="preserve"> Heatmap RMSE per horizon</w:t>
      </w:r>
      <w:bookmarkEnd w:id="125"/>
    </w:p>
    <w:p w14:paraId="7B59C12B">
      <w:pPr>
        <w:ind w:firstLine="720"/>
      </w:pPr>
      <w:r>
        <w:t>Gambar 4.</w:t>
      </w:r>
      <w:r>
        <w:rPr>
          <w:lang w:val="en-US"/>
        </w:rPr>
        <w:t xml:space="preserve"> 22</w:t>
      </w:r>
      <w:r>
        <w:t xml:space="preserve"> menyajikan kurva RMSE H+1 hingga H+6 secara spesifik untuk lima model final terbaik per arsitektur</w:t>
      </w:r>
      <w:r>
        <w:rPr>
          <w:lang w:val="en-US"/>
        </w:rPr>
        <w:t xml:space="preserve"> ditambah model ToMarx</w:t>
      </w:r>
      <w:r>
        <w:t>.</w:t>
      </w:r>
    </w:p>
    <w:p w14:paraId="3D5490B2">
      <w:pPr>
        <w:keepNext/>
        <w:jc w:val="center"/>
      </w:pPr>
      <w:r>
        <w:drawing>
          <wp:inline distT="0" distB="0" distL="114300" distR="114300">
            <wp:extent cx="4614545" cy="2768600"/>
            <wp:effectExtent l="0" t="0" r="0" b="0"/>
            <wp:docPr id="2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14785" cy="2768871"/>
                    </a:xfrm>
                    <a:prstGeom prst="rect">
                      <a:avLst/>
                    </a:prstGeom>
                    <a:noFill/>
                    <a:ln w="9525">
                      <a:noFill/>
                    </a:ln>
                  </pic:spPr>
                </pic:pic>
              </a:graphicData>
            </a:graphic>
          </wp:inline>
        </w:drawing>
      </w:r>
    </w:p>
    <w:p w14:paraId="703FE317">
      <w:pPr>
        <w:pStyle w:val="11"/>
        <w:jc w:val="center"/>
        <w:rPr>
          <w:b/>
          <w:i w:val="0"/>
          <w:color w:val="auto"/>
          <w:sz w:val="24"/>
        </w:rPr>
      </w:pPr>
      <w:bookmarkStart w:id="126" w:name="_Toc236077433"/>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22</w:t>
      </w:r>
      <w:r>
        <w:rPr>
          <w:b/>
          <w:i w:val="0"/>
          <w:color w:val="auto"/>
          <w:sz w:val="24"/>
        </w:rPr>
        <w:fldChar w:fldCharType="end"/>
      </w:r>
      <w:r>
        <w:rPr>
          <w:b/>
          <w:i w:val="0"/>
          <w:color w:val="auto"/>
          <w:sz w:val="24"/>
          <w:lang w:val="en-US"/>
        </w:rPr>
        <w:t xml:space="preserve"> </w:t>
      </w:r>
      <w:r>
        <w:rPr>
          <w:b/>
          <w:i w:val="0"/>
          <w:color w:val="auto"/>
          <w:sz w:val="24"/>
        </w:rPr>
        <w:t>Kurva degradasi RMSE per horizon</w:t>
      </w:r>
      <w:bookmarkEnd w:id="126"/>
    </w:p>
    <w:p w14:paraId="5DF7CECF">
      <w:pPr>
        <w:ind w:firstLine="720"/>
        <w:rPr>
          <w:lang w:val="en-US"/>
        </w:rPr>
      </w:pPr>
      <w:r>
        <w:rPr>
          <w:lang w:val="en-US"/>
        </w:rPr>
        <w:t>Sebagai pelengkap heatmap dan kurva degradasi RMSE, Gambar 4. 23 menampilkan deret waktu aktual dan prediksi ToMarx pada data uji horizon H+1 di seluruh 10 wilayah sumber Jawa Barat. Secara umum, model mampu mengikuti perubahan fase basah dan kering. Namun, prediksi cenderung lebih halus daripada observasi sehingga beberapa puncak curah hujan tinggi masih terestimasi lebih rendah. Besarnya penyimpangan juga berbeda antarwilayah meskipun seluruh data dievaluasi menggunakan checkpoint dan prosedur pengujian yang sama.</w:t>
      </w:r>
    </w:p>
    <w:p w14:paraId="06C5B2F2">
      <w:pPr>
        <w:pStyle w:val="68"/>
        <w:rPr>
          <w:rFonts w:cs="Times New Roman"/>
          <w:color w:val="C00000"/>
        </w:rPr>
      </w:pPr>
      <w:r>
        <w:drawing>
          <wp:inline distT="0" distB="0" distL="114300" distR="114300">
            <wp:extent cx="5052060" cy="4291965"/>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60700" cy="4299876"/>
                    </a:xfrm>
                    <a:prstGeom prst="rect">
                      <a:avLst/>
                    </a:prstGeom>
                    <a:noFill/>
                    <a:ln>
                      <a:noFill/>
                    </a:ln>
                  </pic:spPr>
                </pic:pic>
              </a:graphicData>
            </a:graphic>
          </wp:inline>
        </w:drawing>
      </w:r>
    </w:p>
    <w:p w14:paraId="696E95EC">
      <w:pPr>
        <w:pStyle w:val="11"/>
        <w:keepNext/>
        <w:jc w:val="center"/>
        <w:rPr>
          <w:rFonts w:cs="Times New Roman"/>
          <w:color w:val="000000" w:themeColor="text1"/>
          <w:lang w:val="en-US"/>
          <w14:textFill>
            <w14:solidFill>
              <w14:schemeClr w14:val="tx1"/>
            </w14:solidFill>
          </w14:textFill>
        </w:rPr>
      </w:pPr>
      <w:bookmarkStart w:id="127" w:name="_Toc236077434"/>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23</w:t>
      </w:r>
      <w:r>
        <w:rPr>
          <w:b/>
          <w:i w:val="0"/>
          <w:color w:val="auto"/>
          <w:sz w:val="24"/>
        </w:rPr>
        <w:fldChar w:fldCharType="end"/>
      </w:r>
      <w:r>
        <w:rPr>
          <w:b/>
          <w:i w:val="0"/>
          <w:color w:val="auto"/>
          <w:sz w:val="24"/>
          <w:lang w:val="en-US"/>
        </w:rPr>
        <w:t xml:space="preserve"> Deret waktu aktual dan prediksi ToMarx</w:t>
      </w:r>
      <w:bookmarkEnd w:id="127"/>
    </w:p>
    <w:p w14:paraId="405ECF1E">
      <w:pPr>
        <w:ind w:firstLine="720"/>
        <w:rPr>
          <w:lang w:val="en-US"/>
        </w:rPr>
      </w:pPr>
      <w:r>
        <w:rPr>
          <w:lang w:val="en-US"/>
        </w:rPr>
        <w:t>Garis hitam menunjukkan curah hujan aktual, sedangkan garis biru menunjukkan hasil prediksi model dalam satuan milimeter. Sebagai pembanding numerik terhadap Gambar 4. 23, Tabel 4. 10 menyajikan rata-rata nilai aktual dan prediksi ToMarx pada horizon H+1 untuk seluruh 10 wilayah sumber. Setiap wilayah pada tabel ini mencakup pasangan observasi dan prediksi yang sama dengan data yang divisualisasikan. Selisih positif menunjukkan bahwa prediksi rata-rata lebih tinggi daripada aktual, sedangkan selisih negatif menunjukkan bahwa prediksi rata-rata lebih rendah daripada aktual.</w:t>
      </w:r>
    </w:p>
    <w:p w14:paraId="103C9389">
      <w:pPr>
        <w:pStyle w:val="11"/>
        <w:keepNext/>
        <w:jc w:val="center"/>
        <w:rPr>
          <w:b/>
          <w:i w:val="0"/>
          <w:color w:val="auto"/>
          <w:sz w:val="24"/>
        </w:rPr>
      </w:pPr>
      <w:bookmarkStart w:id="128" w:name="_Toc236786433"/>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10</w:t>
      </w:r>
      <w:r>
        <w:rPr>
          <w:b/>
          <w:i w:val="0"/>
          <w:color w:val="auto"/>
          <w:sz w:val="24"/>
        </w:rPr>
        <w:fldChar w:fldCharType="end"/>
      </w:r>
      <w:r>
        <w:rPr>
          <w:b/>
          <w:i w:val="0"/>
          <w:color w:val="auto"/>
          <w:sz w:val="24"/>
          <w:lang w:val="en-US"/>
        </w:rPr>
        <w:t xml:space="preserve"> Evaluasi Multi-Horizon ToMarx</w:t>
      </w:r>
      <w:bookmarkEnd w:id="12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2080"/>
        <w:gridCol w:w="2202"/>
        <w:gridCol w:w="2615"/>
      </w:tblGrid>
      <w:tr w14:paraId="698F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1658E048">
            <w:pPr>
              <w:spacing w:before="240" w:line="240" w:lineRule="auto"/>
              <w:jc w:val="center"/>
              <w:rPr>
                <w:b/>
                <w:sz w:val="20"/>
              </w:rPr>
            </w:pPr>
            <w:r>
              <w:rPr>
                <w:b/>
                <w:sz w:val="20"/>
              </w:rPr>
              <w:t>Wilayah</w:t>
            </w:r>
          </w:p>
        </w:tc>
        <w:tc>
          <w:tcPr>
            <w:tcW w:w="0" w:type="auto"/>
            <w:vAlign w:val="center"/>
          </w:tcPr>
          <w:p w14:paraId="38BC7D84">
            <w:pPr>
              <w:spacing w:before="240" w:line="240" w:lineRule="auto"/>
              <w:jc w:val="center"/>
              <w:rPr>
                <w:b/>
                <w:sz w:val="20"/>
              </w:rPr>
            </w:pPr>
            <w:r>
              <w:rPr>
                <w:b/>
                <w:sz w:val="20"/>
              </w:rPr>
              <w:t>Aktual Rata-Rata (mm)</w:t>
            </w:r>
          </w:p>
        </w:tc>
        <w:tc>
          <w:tcPr>
            <w:tcW w:w="0" w:type="auto"/>
            <w:vAlign w:val="center"/>
          </w:tcPr>
          <w:p w14:paraId="3227FDAE">
            <w:pPr>
              <w:spacing w:before="240" w:line="240" w:lineRule="auto"/>
              <w:jc w:val="center"/>
              <w:rPr>
                <w:b/>
                <w:sz w:val="20"/>
              </w:rPr>
            </w:pPr>
            <w:r>
              <w:rPr>
                <w:b/>
                <w:sz w:val="20"/>
              </w:rPr>
              <w:t>Prediksi Rata-Rata (mm)</w:t>
            </w:r>
          </w:p>
        </w:tc>
        <w:tc>
          <w:tcPr>
            <w:tcW w:w="0" w:type="auto"/>
            <w:vAlign w:val="center"/>
          </w:tcPr>
          <w:p w14:paraId="433BD60D">
            <w:pPr>
              <w:spacing w:before="240" w:line="240" w:lineRule="auto"/>
              <w:jc w:val="center"/>
              <w:rPr>
                <w:b/>
                <w:sz w:val="20"/>
              </w:rPr>
            </w:pPr>
            <w:r>
              <w:rPr>
                <w:b/>
                <w:sz w:val="20"/>
              </w:rPr>
              <w:t>Selisih Prediksi − Aktual (mm)</w:t>
            </w:r>
          </w:p>
        </w:tc>
      </w:tr>
      <w:tr w14:paraId="5EAD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18A3615">
            <w:pPr>
              <w:spacing w:before="240" w:line="240" w:lineRule="auto"/>
              <w:jc w:val="center"/>
              <w:rPr>
                <w:sz w:val="20"/>
              </w:rPr>
            </w:pPr>
            <w:r>
              <w:rPr>
                <w:sz w:val="20"/>
              </w:rPr>
              <w:t>Bogor</w:t>
            </w:r>
          </w:p>
        </w:tc>
        <w:tc>
          <w:tcPr>
            <w:tcW w:w="0" w:type="auto"/>
            <w:vAlign w:val="center"/>
          </w:tcPr>
          <w:p w14:paraId="176D4A50">
            <w:pPr>
              <w:spacing w:before="240" w:line="240" w:lineRule="auto"/>
              <w:jc w:val="center"/>
              <w:rPr>
                <w:sz w:val="20"/>
              </w:rPr>
            </w:pPr>
            <w:r>
              <w:rPr>
                <w:sz w:val="20"/>
              </w:rPr>
              <w:t>155,11</w:t>
            </w:r>
          </w:p>
        </w:tc>
        <w:tc>
          <w:tcPr>
            <w:tcW w:w="0" w:type="auto"/>
            <w:vAlign w:val="center"/>
          </w:tcPr>
          <w:p w14:paraId="56C8AB1D">
            <w:pPr>
              <w:spacing w:before="240" w:line="240" w:lineRule="auto"/>
              <w:jc w:val="center"/>
              <w:rPr>
                <w:sz w:val="20"/>
              </w:rPr>
            </w:pPr>
            <w:r>
              <w:rPr>
                <w:sz w:val="20"/>
              </w:rPr>
              <w:t>139,85</w:t>
            </w:r>
          </w:p>
        </w:tc>
        <w:tc>
          <w:tcPr>
            <w:tcW w:w="0" w:type="auto"/>
            <w:vAlign w:val="center"/>
          </w:tcPr>
          <w:p w14:paraId="6B595F62">
            <w:pPr>
              <w:spacing w:before="240" w:line="240" w:lineRule="auto"/>
              <w:jc w:val="center"/>
              <w:rPr>
                <w:sz w:val="20"/>
              </w:rPr>
            </w:pPr>
            <w:r>
              <w:rPr>
                <w:sz w:val="20"/>
              </w:rPr>
              <w:t>-15,26</w:t>
            </w:r>
          </w:p>
        </w:tc>
      </w:tr>
      <w:tr w14:paraId="653A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3418AAE1">
            <w:pPr>
              <w:spacing w:before="240" w:line="240" w:lineRule="auto"/>
              <w:jc w:val="center"/>
              <w:rPr>
                <w:sz w:val="20"/>
              </w:rPr>
            </w:pPr>
            <w:r>
              <w:rPr>
                <w:sz w:val="20"/>
              </w:rPr>
              <w:t>Bandung</w:t>
            </w:r>
          </w:p>
        </w:tc>
        <w:tc>
          <w:tcPr>
            <w:tcW w:w="0" w:type="auto"/>
            <w:vAlign w:val="center"/>
          </w:tcPr>
          <w:p w14:paraId="55C119F7">
            <w:pPr>
              <w:spacing w:before="240" w:line="240" w:lineRule="auto"/>
              <w:jc w:val="center"/>
              <w:rPr>
                <w:sz w:val="20"/>
              </w:rPr>
            </w:pPr>
            <w:r>
              <w:rPr>
                <w:sz w:val="20"/>
              </w:rPr>
              <w:t>172,25</w:t>
            </w:r>
          </w:p>
        </w:tc>
        <w:tc>
          <w:tcPr>
            <w:tcW w:w="0" w:type="auto"/>
            <w:vAlign w:val="center"/>
          </w:tcPr>
          <w:p w14:paraId="6C0DFA96">
            <w:pPr>
              <w:spacing w:before="240" w:line="240" w:lineRule="auto"/>
              <w:jc w:val="center"/>
              <w:rPr>
                <w:sz w:val="20"/>
              </w:rPr>
            </w:pPr>
            <w:r>
              <w:rPr>
                <w:sz w:val="20"/>
              </w:rPr>
              <w:t>168,99</w:t>
            </w:r>
          </w:p>
        </w:tc>
        <w:tc>
          <w:tcPr>
            <w:tcW w:w="0" w:type="auto"/>
            <w:vAlign w:val="center"/>
          </w:tcPr>
          <w:p w14:paraId="6F532EDF">
            <w:pPr>
              <w:spacing w:before="240" w:line="240" w:lineRule="auto"/>
              <w:jc w:val="center"/>
              <w:rPr>
                <w:sz w:val="20"/>
              </w:rPr>
            </w:pPr>
            <w:r>
              <w:rPr>
                <w:sz w:val="20"/>
              </w:rPr>
              <w:t>-3,26</w:t>
            </w:r>
          </w:p>
        </w:tc>
      </w:tr>
      <w:tr w14:paraId="0AD2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F336E17">
            <w:pPr>
              <w:spacing w:before="240" w:line="240" w:lineRule="auto"/>
              <w:jc w:val="center"/>
              <w:rPr>
                <w:sz w:val="20"/>
              </w:rPr>
            </w:pPr>
            <w:r>
              <w:rPr>
                <w:sz w:val="20"/>
              </w:rPr>
              <w:t>Bekasi</w:t>
            </w:r>
          </w:p>
        </w:tc>
        <w:tc>
          <w:tcPr>
            <w:tcW w:w="0" w:type="auto"/>
            <w:vAlign w:val="center"/>
          </w:tcPr>
          <w:p w14:paraId="49F56F40">
            <w:pPr>
              <w:spacing w:before="240" w:line="240" w:lineRule="auto"/>
              <w:jc w:val="center"/>
              <w:rPr>
                <w:sz w:val="20"/>
              </w:rPr>
            </w:pPr>
            <w:r>
              <w:rPr>
                <w:sz w:val="20"/>
              </w:rPr>
              <w:t>109,28</w:t>
            </w:r>
          </w:p>
        </w:tc>
        <w:tc>
          <w:tcPr>
            <w:tcW w:w="0" w:type="auto"/>
            <w:vAlign w:val="center"/>
          </w:tcPr>
          <w:p w14:paraId="67B9D0AD">
            <w:pPr>
              <w:spacing w:before="240" w:line="240" w:lineRule="auto"/>
              <w:jc w:val="center"/>
              <w:rPr>
                <w:sz w:val="20"/>
              </w:rPr>
            </w:pPr>
            <w:r>
              <w:rPr>
                <w:sz w:val="20"/>
              </w:rPr>
              <w:t>176,09</w:t>
            </w:r>
          </w:p>
        </w:tc>
        <w:tc>
          <w:tcPr>
            <w:tcW w:w="0" w:type="auto"/>
            <w:vAlign w:val="center"/>
          </w:tcPr>
          <w:p w14:paraId="5E87624D">
            <w:pPr>
              <w:spacing w:before="240" w:line="240" w:lineRule="auto"/>
              <w:jc w:val="center"/>
              <w:rPr>
                <w:sz w:val="20"/>
              </w:rPr>
            </w:pPr>
            <w:r>
              <w:rPr>
                <w:sz w:val="20"/>
              </w:rPr>
              <w:t>+66,81</w:t>
            </w:r>
          </w:p>
        </w:tc>
      </w:tr>
      <w:tr w14:paraId="594B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B09AA1D">
            <w:pPr>
              <w:spacing w:before="240" w:line="240" w:lineRule="auto"/>
              <w:jc w:val="center"/>
              <w:rPr>
                <w:sz w:val="20"/>
              </w:rPr>
            </w:pPr>
            <w:r>
              <w:rPr>
                <w:sz w:val="20"/>
              </w:rPr>
              <w:t>Cirebon</w:t>
            </w:r>
          </w:p>
        </w:tc>
        <w:tc>
          <w:tcPr>
            <w:tcW w:w="0" w:type="auto"/>
            <w:vAlign w:val="center"/>
          </w:tcPr>
          <w:p w14:paraId="72154A94">
            <w:pPr>
              <w:spacing w:before="240" w:line="240" w:lineRule="auto"/>
              <w:jc w:val="center"/>
              <w:rPr>
                <w:sz w:val="20"/>
              </w:rPr>
            </w:pPr>
            <w:r>
              <w:rPr>
                <w:sz w:val="20"/>
              </w:rPr>
              <w:t>114,74</w:t>
            </w:r>
          </w:p>
        </w:tc>
        <w:tc>
          <w:tcPr>
            <w:tcW w:w="0" w:type="auto"/>
            <w:vAlign w:val="center"/>
          </w:tcPr>
          <w:p w14:paraId="35DAF871">
            <w:pPr>
              <w:spacing w:before="240" w:line="240" w:lineRule="auto"/>
              <w:jc w:val="center"/>
              <w:rPr>
                <w:sz w:val="20"/>
              </w:rPr>
            </w:pPr>
            <w:r>
              <w:rPr>
                <w:sz w:val="20"/>
              </w:rPr>
              <w:t>145,81</w:t>
            </w:r>
          </w:p>
        </w:tc>
        <w:tc>
          <w:tcPr>
            <w:tcW w:w="0" w:type="auto"/>
            <w:vAlign w:val="center"/>
          </w:tcPr>
          <w:p w14:paraId="2C79D773">
            <w:pPr>
              <w:spacing w:before="240" w:line="240" w:lineRule="auto"/>
              <w:jc w:val="center"/>
              <w:rPr>
                <w:sz w:val="20"/>
              </w:rPr>
            </w:pPr>
            <w:r>
              <w:rPr>
                <w:sz w:val="20"/>
              </w:rPr>
              <w:t>+31,07</w:t>
            </w:r>
          </w:p>
        </w:tc>
      </w:tr>
      <w:tr w14:paraId="209E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340255AB">
            <w:pPr>
              <w:spacing w:before="240" w:line="240" w:lineRule="auto"/>
              <w:jc w:val="center"/>
              <w:rPr>
                <w:sz w:val="20"/>
              </w:rPr>
            </w:pPr>
            <w:r>
              <w:rPr>
                <w:sz w:val="20"/>
              </w:rPr>
              <w:t>Pangandaran</w:t>
            </w:r>
          </w:p>
        </w:tc>
        <w:tc>
          <w:tcPr>
            <w:tcW w:w="0" w:type="auto"/>
            <w:vAlign w:val="center"/>
          </w:tcPr>
          <w:p w14:paraId="24A6A459">
            <w:pPr>
              <w:spacing w:before="240" w:line="240" w:lineRule="auto"/>
              <w:jc w:val="center"/>
              <w:rPr>
                <w:sz w:val="20"/>
              </w:rPr>
            </w:pPr>
            <w:r>
              <w:rPr>
                <w:sz w:val="20"/>
              </w:rPr>
              <w:t>135,28</w:t>
            </w:r>
          </w:p>
        </w:tc>
        <w:tc>
          <w:tcPr>
            <w:tcW w:w="0" w:type="auto"/>
            <w:vAlign w:val="center"/>
          </w:tcPr>
          <w:p w14:paraId="27FBA9DF">
            <w:pPr>
              <w:spacing w:before="240" w:line="240" w:lineRule="auto"/>
              <w:jc w:val="center"/>
              <w:rPr>
                <w:sz w:val="20"/>
              </w:rPr>
            </w:pPr>
            <w:r>
              <w:rPr>
                <w:sz w:val="20"/>
              </w:rPr>
              <w:t>144,52</w:t>
            </w:r>
          </w:p>
        </w:tc>
        <w:tc>
          <w:tcPr>
            <w:tcW w:w="0" w:type="auto"/>
            <w:vAlign w:val="center"/>
          </w:tcPr>
          <w:p w14:paraId="7CB0AB0C">
            <w:pPr>
              <w:spacing w:before="240" w:line="240" w:lineRule="auto"/>
              <w:jc w:val="center"/>
              <w:rPr>
                <w:sz w:val="20"/>
              </w:rPr>
            </w:pPr>
            <w:r>
              <w:rPr>
                <w:sz w:val="20"/>
              </w:rPr>
              <w:t>+9,24</w:t>
            </w:r>
          </w:p>
        </w:tc>
      </w:tr>
      <w:tr w14:paraId="319F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9FC7971">
            <w:pPr>
              <w:spacing w:before="240" w:line="240" w:lineRule="auto"/>
              <w:jc w:val="center"/>
              <w:rPr>
                <w:sz w:val="20"/>
              </w:rPr>
            </w:pPr>
            <w:r>
              <w:rPr>
                <w:sz w:val="20"/>
              </w:rPr>
              <w:t>Cianjur</w:t>
            </w:r>
          </w:p>
        </w:tc>
        <w:tc>
          <w:tcPr>
            <w:tcW w:w="0" w:type="auto"/>
            <w:vAlign w:val="center"/>
          </w:tcPr>
          <w:p w14:paraId="5FBFF95C">
            <w:pPr>
              <w:spacing w:before="240" w:line="240" w:lineRule="auto"/>
              <w:jc w:val="center"/>
              <w:rPr>
                <w:sz w:val="20"/>
              </w:rPr>
            </w:pPr>
            <w:r>
              <w:rPr>
                <w:sz w:val="20"/>
              </w:rPr>
              <w:t>130,94</w:t>
            </w:r>
          </w:p>
        </w:tc>
        <w:tc>
          <w:tcPr>
            <w:tcW w:w="0" w:type="auto"/>
            <w:vAlign w:val="center"/>
          </w:tcPr>
          <w:p w14:paraId="62CE1ABB">
            <w:pPr>
              <w:spacing w:before="240" w:line="240" w:lineRule="auto"/>
              <w:jc w:val="center"/>
              <w:rPr>
                <w:sz w:val="20"/>
              </w:rPr>
            </w:pPr>
            <w:r>
              <w:rPr>
                <w:sz w:val="20"/>
              </w:rPr>
              <w:t>141,62</w:t>
            </w:r>
          </w:p>
        </w:tc>
        <w:tc>
          <w:tcPr>
            <w:tcW w:w="0" w:type="auto"/>
            <w:vAlign w:val="center"/>
          </w:tcPr>
          <w:p w14:paraId="17E46FBF">
            <w:pPr>
              <w:spacing w:before="240" w:line="240" w:lineRule="auto"/>
              <w:jc w:val="center"/>
              <w:rPr>
                <w:sz w:val="20"/>
              </w:rPr>
            </w:pPr>
            <w:r>
              <w:rPr>
                <w:sz w:val="20"/>
              </w:rPr>
              <w:t>+10,68</w:t>
            </w:r>
          </w:p>
        </w:tc>
      </w:tr>
      <w:tr w14:paraId="29D7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7376399">
            <w:pPr>
              <w:spacing w:before="240" w:line="240" w:lineRule="auto"/>
              <w:jc w:val="center"/>
              <w:rPr>
                <w:sz w:val="20"/>
              </w:rPr>
            </w:pPr>
            <w:r>
              <w:rPr>
                <w:sz w:val="20"/>
              </w:rPr>
              <w:t>Ciasem</w:t>
            </w:r>
          </w:p>
        </w:tc>
        <w:tc>
          <w:tcPr>
            <w:tcW w:w="0" w:type="auto"/>
            <w:vAlign w:val="center"/>
          </w:tcPr>
          <w:p w14:paraId="05B23EF3">
            <w:pPr>
              <w:spacing w:before="240" w:line="240" w:lineRule="auto"/>
              <w:jc w:val="center"/>
              <w:rPr>
                <w:sz w:val="20"/>
              </w:rPr>
            </w:pPr>
            <w:r>
              <w:rPr>
                <w:sz w:val="20"/>
              </w:rPr>
              <w:t>107,16</w:t>
            </w:r>
          </w:p>
        </w:tc>
        <w:tc>
          <w:tcPr>
            <w:tcW w:w="0" w:type="auto"/>
            <w:vAlign w:val="center"/>
          </w:tcPr>
          <w:p w14:paraId="22259BE4">
            <w:pPr>
              <w:spacing w:before="240" w:line="240" w:lineRule="auto"/>
              <w:jc w:val="center"/>
              <w:rPr>
                <w:sz w:val="20"/>
              </w:rPr>
            </w:pPr>
            <w:r>
              <w:rPr>
                <w:sz w:val="20"/>
              </w:rPr>
              <w:t>148,64</w:t>
            </w:r>
          </w:p>
        </w:tc>
        <w:tc>
          <w:tcPr>
            <w:tcW w:w="0" w:type="auto"/>
            <w:vAlign w:val="center"/>
          </w:tcPr>
          <w:p w14:paraId="17DA395C">
            <w:pPr>
              <w:spacing w:before="240" w:line="240" w:lineRule="auto"/>
              <w:jc w:val="center"/>
              <w:rPr>
                <w:sz w:val="20"/>
              </w:rPr>
            </w:pPr>
            <w:r>
              <w:rPr>
                <w:sz w:val="20"/>
              </w:rPr>
              <w:t>+41,48</w:t>
            </w:r>
          </w:p>
        </w:tc>
      </w:tr>
      <w:tr w14:paraId="1107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346DC43">
            <w:pPr>
              <w:spacing w:before="240" w:line="240" w:lineRule="auto"/>
              <w:jc w:val="center"/>
              <w:rPr>
                <w:sz w:val="20"/>
              </w:rPr>
            </w:pPr>
            <w:r>
              <w:rPr>
                <w:sz w:val="20"/>
              </w:rPr>
              <w:t>Cibeureum</w:t>
            </w:r>
          </w:p>
        </w:tc>
        <w:tc>
          <w:tcPr>
            <w:tcW w:w="0" w:type="auto"/>
            <w:vAlign w:val="center"/>
          </w:tcPr>
          <w:p w14:paraId="1D2A8EDB">
            <w:pPr>
              <w:spacing w:before="240" w:line="240" w:lineRule="auto"/>
              <w:jc w:val="center"/>
              <w:rPr>
                <w:sz w:val="20"/>
              </w:rPr>
            </w:pPr>
            <w:r>
              <w:rPr>
                <w:sz w:val="20"/>
              </w:rPr>
              <w:t>195,00</w:t>
            </w:r>
          </w:p>
        </w:tc>
        <w:tc>
          <w:tcPr>
            <w:tcW w:w="0" w:type="auto"/>
            <w:vAlign w:val="center"/>
          </w:tcPr>
          <w:p w14:paraId="04B724C7">
            <w:pPr>
              <w:spacing w:before="240" w:line="240" w:lineRule="auto"/>
              <w:jc w:val="center"/>
              <w:rPr>
                <w:sz w:val="20"/>
              </w:rPr>
            </w:pPr>
            <w:r>
              <w:rPr>
                <w:sz w:val="20"/>
              </w:rPr>
              <w:t>135,08</w:t>
            </w:r>
          </w:p>
        </w:tc>
        <w:tc>
          <w:tcPr>
            <w:tcW w:w="0" w:type="auto"/>
            <w:vAlign w:val="center"/>
          </w:tcPr>
          <w:p w14:paraId="010AA922">
            <w:pPr>
              <w:spacing w:before="240" w:line="240" w:lineRule="auto"/>
              <w:jc w:val="center"/>
              <w:rPr>
                <w:sz w:val="20"/>
              </w:rPr>
            </w:pPr>
            <w:r>
              <w:rPr>
                <w:sz w:val="20"/>
              </w:rPr>
              <w:t>-59,92</w:t>
            </w:r>
          </w:p>
        </w:tc>
      </w:tr>
      <w:tr w14:paraId="7B67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C0B8523">
            <w:pPr>
              <w:spacing w:before="240" w:line="240" w:lineRule="auto"/>
              <w:jc w:val="center"/>
              <w:rPr>
                <w:sz w:val="20"/>
              </w:rPr>
            </w:pPr>
            <w:r>
              <w:rPr>
                <w:sz w:val="20"/>
              </w:rPr>
              <w:t>Ciberes</w:t>
            </w:r>
          </w:p>
        </w:tc>
        <w:tc>
          <w:tcPr>
            <w:tcW w:w="0" w:type="auto"/>
            <w:vAlign w:val="center"/>
          </w:tcPr>
          <w:p w14:paraId="217FCE5D">
            <w:pPr>
              <w:spacing w:before="240" w:line="240" w:lineRule="auto"/>
              <w:jc w:val="center"/>
              <w:rPr>
                <w:sz w:val="20"/>
              </w:rPr>
            </w:pPr>
            <w:r>
              <w:rPr>
                <w:sz w:val="20"/>
              </w:rPr>
              <w:t>106,50</w:t>
            </w:r>
          </w:p>
        </w:tc>
        <w:tc>
          <w:tcPr>
            <w:tcW w:w="0" w:type="auto"/>
            <w:vAlign w:val="center"/>
          </w:tcPr>
          <w:p w14:paraId="3F1C7E5B">
            <w:pPr>
              <w:spacing w:before="240" w:line="240" w:lineRule="auto"/>
              <w:jc w:val="center"/>
              <w:rPr>
                <w:sz w:val="20"/>
              </w:rPr>
            </w:pPr>
            <w:r>
              <w:rPr>
                <w:sz w:val="20"/>
              </w:rPr>
              <w:t>134,68</w:t>
            </w:r>
          </w:p>
        </w:tc>
        <w:tc>
          <w:tcPr>
            <w:tcW w:w="0" w:type="auto"/>
            <w:vAlign w:val="center"/>
          </w:tcPr>
          <w:p w14:paraId="43284838">
            <w:pPr>
              <w:spacing w:before="240" w:line="240" w:lineRule="auto"/>
              <w:jc w:val="center"/>
              <w:rPr>
                <w:sz w:val="20"/>
              </w:rPr>
            </w:pPr>
            <w:r>
              <w:rPr>
                <w:sz w:val="20"/>
              </w:rPr>
              <w:t>+28,18</w:t>
            </w:r>
          </w:p>
        </w:tc>
      </w:tr>
      <w:tr w14:paraId="3FC8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6F63FB2">
            <w:pPr>
              <w:spacing w:before="240" w:line="240" w:lineRule="auto"/>
              <w:jc w:val="center"/>
              <w:rPr>
                <w:sz w:val="20"/>
              </w:rPr>
            </w:pPr>
            <w:r>
              <w:rPr>
                <w:sz w:val="20"/>
              </w:rPr>
              <w:t>Ciawi</w:t>
            </w:r>
          </w:p>
        </w:tc>
        <w:tc>
          <w:tcPr>
            <w:tcW w:w="0" w:type="auto"/>
            <w:vAlign w:val="center"/>
          </w:tcPr>
          <w:p w14:paraId="5D7931AB">
            <w:pPr>
              <w:spacing w:before="240" w:line="240" w:lineRule="auto"/>
              <w:jc w:val="center"/>
              <w:rPr>
                <w:sz w:val="20"/>
              </w:rPr>
            </w:pPr>
            <w:r>
              <w:rPr>
                <w:sz w:val="20"/>
              </w:rPr>
              <w:t>158,85</w:t>
            </w:r>
          </w:p>
        </w:tc>
        <w:tc>
          <w:tcPr>
            <w:tcW w:w="0" w:type="auto"/>
            <w:vAlign w:val="center"/>
          </w:tcPr>
          <w:p w14:paraId="0D735A72">
            <w:pPr>
              <w:spacing w:before="240" w:line="240" w:lineRule="auto"/>
              <w:jc w:val="center"/>
              <w:rPr>
                <w:sz w:val="20"/>
              </w:rPr>
            </w:pPr>
            <w:r>
              <w:rPr>
                <w:sz w:val="20"/>
              </w:rPr>
              <w:t>129,39</w:t>
            </w:r>
          </w:p>
        </w:tc>
        <w:tc>
          <w:tcPr>
            <w:tcW w:w="0" w:type="auto"/>
            <w:vAlign w:val="center"/>
          </w:tcPr>
          <w:p w14:paraId="1D617B6B">
            <w:pPr>
              <w:spacing w:before="240" w:line="240" w:lineRule="auto"/>
              <w:jc w:val="center"/>
              <w:rPr>
                <w:sz w:val="20"/>
              </w:rPr>
            </w:pPr>
            <w:r>
              <w:rPr>
                <w:sz w:val="20"/>
              </w:rPr>
              <w:t>-29,46</w:t>
            </w:r>
          </w:p>
        </w:tc>
      </w:tr>
    </w:tbl>
    <w:p w14:paraId="34FDBF42">
      <w:pPr>
        <w:spacing w:before="240"/>
        <w:ind w:firstLine="720"/>
        <w:rPr>
          <w:lang w:val="en-US"/>
        </w:rPr>
      </w:pPr>
      <w:r>
        <w:t>Tabel 4.</w:t>
      </w:r>
      <w:r>
        <w:rPr>
          <w:lang w:val="en-US"/>
        </w:rPr>
        <w:t xml:space="preserve"> 10</w:t>
      </w:r>
      <w:r>
        <w:t xml:space="preserve"> menunjukkan bahwa kecenderungan rata-rata prediksi ToMarx tidak seragam pada seluruh wilayah. Bekasi, Cirebon, Ciasem, dan Ciberes memperlihatkan selisih positif yang cukup besar, yang berarti prediksi rata-rata berada di atas nilai aktual. Sebaliknya, Bogor, Cibeureum, dan Ciawi menunjukkan selisih negatif, sehingga rata-rata prediksi berada di bawah observasi. Selisih terbesar positif terjadi di Bekasi sebesar 66,81 mm, sedangkan selisih terbesar negatif terjadi di Cibeureum sebesar -59,92 mm. Hasil ini menunjukkan bahwa meskipun model secara umum mampu mengikuti pola basah-kering, terdapat perbedaan kecenderungan bias antarwilayah</w:t>
      </w:r>
      <w:r>
        <w:rPr>
          <w:lang w:val="en-US"/>
        </w:rPr>
        <w:t>.</w:t>
      </w:r>
    </w:p>
    <w:p w14:paraId="059F0C24">
      <w:pPr>
        <w:pStyle w:val="4"/>
      </w:pPr>
      <w:bookmarkStart w:id="129" w:name="_Toc236076763"/>
      <w:r>
        <w:t>4.4.2 Evaluasi Ketahanan Regional Jawa Barat</w:t>
      </w:r>
      <w:bookmarkEnd w:id="129"/>
    </w:p>
    <w:p w14:paraId="41A1674B">
      <w:pPr>
        <w:pStyle w:val="5"/>
        <w:spacing w:before="0"/>
        <w:ind w:firstLine="7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Untuk memenuhi protokol evaluasi berlapis, kinerja </w:t>
      </w:r>
      <w:r>
        <w:rPr>
          <w:rFonts w:cs="Times New Roman"/>
          <w:i/>
          <w:iCs/>
          <w:color w:val="000000" w:themeColor="text1"/>
          <w14:textFill>
            <w14:solidFill>
              <w14:schemeClr w14:val="tx1"/>
            </w14:solidFill>
          </w14:textFill>
        </w:rPr>
        <w:t xml:space="preserve">ToMarx </w:t>
      </w:r>
      <w:r>
        <w:rPr>
          <w:rFonts w:cs="Times New Roman"/>
          <w:color w:val="000000" w:themeColor="text1"/>
          <w14:textFill>
            <w14:solidFill>
              <w14:schemeClr w14:val="tx1"/>
            </w14:solidFill>
          </w14:textFill>
        </w:rPr>
        <w:t xml:space="preserve">pada wilayah sumber juga diringkas pada level regional. Perhitungan dilakukan pada skala curah hujan asli (mm) untuk seluruh horizon H+1–H+6. Hasilnya menunjukkan RMSE rata-rata tidak berbobot sebesar 82,22 mm dan RMSE </w:t>
      </w:r>
      <w:r>
        <w:rPr>
          <w:rFonts w:cs="Times New Roman"/>
          <w:color w:val="000000" w:themeColor="text1"/>
          <w:lang w:val="en-US"/>
          <w14:textFill>
            <w14:solidFill>
              <w14:schemeClr w14:val="tx1"/>
            </w14:solidFill>
          </w14:textFill>
        </w:rPr>
        <w:t xml:space="preserve">gabungan </w:t>
      </w:r>
      <w:r>
        <w:rPr>
          <w:rFonts w:cs="Times New Roman"/>
          <w:color w:val="000000" w:themeColor="text1"/>
          <w14:textFill>
            <w14:solidFill>
              <w14:schemeClr w14:val="tx1"/>
            </w14:solidFill>
          </w14:textFill>
        </w:rPr>
        <w:t>sebesar 82,56 mm. Nilai std(RMSE) sebesar 7,04 mm menunjukkan variasi kinerja antaran POS masih moderat. Dua POS terberat pada worst-20% adalah Bogor dan Bandung, dengan rerata RMSE 91,08 mm atau degradasi maksimum sekitar 11,72% dari rata-rata regional. CVaR95 rata-rata sebesar 221,43 mm menegaskan bahwa kesalahan terbesar masih berasal dari kejadian hujan ekstrem, sehingga model tetap menghadapi risiko yang signifikan pada kasus sulit.</w:t>
      </w:r>
    </w:p>
    <w:p w14:paraId="68047425">
      <w:pPr>
        <w:pStyle w:val="11"/>
        <w:keepNext/>
        <w:jc w:val="center"/>
        <w:rPr>
          <w:b/>
          <w:i w:val="0"/>
          <w:color w:val="auto"/>
          <w:sz w:val="24"/>
          <w:lang w:val="en-US"/>
        </w:rPr>
      </w:pPr>
      <w:bookmarkStart w:id="130" w:name="_Toc236786434"/>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11</w:t>
      </w:r>
      <w:r>
        <w:rPr>
          <w:b/>
          <w:i w:val="0"/>
          <w:color w:val="auto"/>
          <w:sz w:val="24"/>
        </w:rPr>
        <w:fldChar w:fldCharType="end"/>
      </w:r>
      <w:r>
        <w:rPr>
          <w:b/>
          <w:i w:val="0"/>
          <w:color w:val="auto"/>
          <w:sz w:val="24"/>
          <w:lang w:val="en-US"/>
        </w:rPr>
        <w:t xml:space="preserve"> Ringkasan Ketahanan Regional ToMarx pada 10 Wilayah Sumber</w:t>
      </w:r>
      <w:bookmarkEnd w:id="130"/>
    </w:p>
    <w:tbl>
      <w:tblPr>
        <w:tblStyle w:val="67"/>
        <w:tblW w:w="0" w:type="auto"/>
        <w:jc w:val="center"/>
        <w:tblLayout w:type="autofit"/>
        <w:tblCellMar>
          <w:top w:w="0" w:type="dxa"/>
          <w:left w:w="108" w:type="dxa"/>
          <w:bottom w:w="0" w:type="dxa"/>
          <w:right w:w="108" w:type="dxa"/>
        </w:tblCellMar>
      </w:tblPr>
      <w:tblGrid>
        <w:gridCol w:w="2703"/>
        <w:gridCol w:w="1671"/>
      </w:tblGrid>
      <w:tr w14:paraId="3E94B051">
        <w:tblPrEx>
          <w:tblCellMar>
            <w:top w:w="0" w:type="dxa"/>
            <w:left w:w="108" w:type="dxa"/>
            <w:bottom w:w="0" w:type="dxa"/>
            <w:right w:w="108" w:type="dxa"/>
          </w:tblCellMar>
        </w:tblPrEx>
        <w:trPr>
          <w:tblHeade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DE8AFB9">
            <w:pPr>
              <w:pStyle w:val="66"/>
              <w:jc w:val="center"/>
              <w:rPr>
                <w:rFonts w:cs="Times New Roman"/>
                <w:b/>
                <w:bCs/>
                <w:color w:val="000000" w:themeColor="text1"/>
                <w:sz w:val="22"/>
                <w14:textFill>
                  <w14:solidFill>
                    <w14:schemeClr w14:val="tx1"/>
                  </w14:solidFill>
                </w14:textFill>
              </w:rPr>
            </w:pPr>
            <w:r>
              <w:rPr>
                <w:rFonts w:cs="Times New Roman"/>
                <w:b/>
                <w:bCs/>
                <w:color w:val="000000" w:themeColor="text1"/>
                <w:sz w:val="22"/>
                <w14:textFill>
                  <w14:solidFill>
                    <w14:schemeClr w14:val="tx1"/>
                  </w14:solidFill>
                </w14:textFill>
              </w:rPr>
              <w:t>Metrik regional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A9FE7C">
            <w:pPr>
              <w:pStyle w:val="66"/>
              <w:jc w:val="center"/>
              <w:rPr>
                <w:rFonts w:cs="Times New Roman"/>
                <w:b/>
                <w:bCs/>
                <w:color w:val="000000" w:themeColor="text1"/>
                <w:sz w:val="22"/>
                <w14:textFill>
                  <w14:solidFill>
                    <w14:schemeClr w14:val="tx1"/>
                  </w14:solidFill>
                </w14:textFill>
              </w:rPr>
            </w:pPr>
            <w:r>
              <w:rPr>
                <w:rFonts w:cs="Times New Roman"/>
                <w:b/>
                <w:bCs/>
                <w:color w:val="000000" w:themeColor="text1"/>
                <w:sz w:val="22"/>
                <w14:textFill>
                  <w14:solidFill>
                    <w14:schemeClr w14:val="tx1"/>
                  </w14:solidFill>
                </w14:textFill>
              </w:rPr>
              <w:t>Nilai</w:t>
            </w:r>
          </w:p>
        </w:tc>
      </w:tr>
      <w:tr w14:paraId="2E4FFFAB">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3CE206">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Jumlah POS sumber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B7EEC6">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10</w:t>
            </w:r>
          </w:p>
        </w:tc>
      </w:tr>
      <w:tr w14:paraId="254E58FE">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0FFF83">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Jumlah prediksi uji</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CA2DDD">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8.214</w:t>
            </w:r>
          </w:p>
        </w:tc>
      </w:tr>
      <w:tr w14:paraId="77C2B683">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B8DCB8">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Mean RMSE tidak berbobot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F84D84">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82,22 mm</w:t>
            </w:r>
          </w:p>
        </w:tc>
      </w:tr>
      <w:tr w14:paraId="1385C497">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E0BF92">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Mean RMSE berbobot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2200CE">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82,26 mm</w:t>
            </w:r>
          </w:p>
        </w:tc>
      </w:tr>
      <w:tr w14:paraId="0F0DCF39">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D3A1F6">
            <w:pPr>
              <w:pStyle w:val="66"/>
              <w:jc w:val="center"/>
              <w:rPr>
                <w:rFonts w:cs="Times New Roman"/>
                <w:color w:val="000000" w:themeColor="text1"/>
                <w:sz w:val="22"/>
                <w:lang w:val="en-US"/>
                <w14:textFill>
                  <w14:solidFill>
                    <w14:schemeClr w14:val="tx1"/>
                  </w14:solidFill>
                </w14:textFill>
              </w:rPr>
            </w:pPr>
            <w:r>
              <w:rPr>
                <w:rFonts w:cs="Times New Roman"/>
                <w:color w:val="000000" w:themeColor="text1"/>
                <w:sz w:val="22"/>
                <w14:textFill>
                  <w14:solidFill>
                    <w14:schemeClr w14:val="tx1"/>
                  </w14:solidFill>
                </w14:textFill>
              </w:rPr>
              <w:t xml:space="preserve">RMSE </w:t>
            </w:r>
            <w:r>
              <w:rPr>
                <w:rFonts w:cs="Times New Roman"/>
                <w:color w:val="000000" w:themeColor="text1"/>
                <w:sz w:val="22"/>
                <w:lang w:val="en-US"/>
                <w14:textFill>
                  <w14:solidFill>
                    <w14:schemeClr w14:val="tx1"/>
                  </w14:solidFill>
                </w14:textFill>
              </w:rPr>
              <w:t>gabungan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F90A53">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82,56 mm</w:t>
            </w:r>
          </w:p>
        </w:tc>
      </w:tr>
      <w:tr w14:paraId="79B2F9B2">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D3729C">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Std RMSE antar-POS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E0874B">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7,04 mm</w:t>
            </w:r>
          </w:p>
        </w:tc>
      </w:tr>
      <w:tr w14:paraId="57C6189C">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221D5E">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Worst-20% POS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CD9B27">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Bogor, Bandung</w:t>
            </w:r>
          </w:p>
        </w:tc>
      </w:tr>
      <w:tr w14:paraId="39618083">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AAF2A9">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Mean RMSE worst-20%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2C1D00">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91,08 mm</w:t>
            </w:r>
          </w:p>
        </w:tc>
      </w:tr>
      <w:tr w14:paraId="2F8D322C">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8BF090">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Max degradation vs mean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98AF62">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11,72%</w:t>
            </w:r>
          </w:p>
        </w:tc>
      </w:tr>
      <w:tr w14:paraId="7BBCEC9B">
        <w:tblPrEx>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CA8738">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Mean CVaR95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B242E4">
            <w:pPr>
              <w:pStyle w:val="66"/>
              <w:jc w:val="center"/>
              <w:rPr>
                <w:rFonts w:cs="Times New Roman"/>
                <w:color w:val="000000" w:themeColor="text1"/>
                <w:sz w:val="22"/>
                <w14:textFill>
                  <w14:solidFill>
                    <w14:schemeClr w14:val="tx1"/>
                  </w14:solidFill>
                </w14:textFill>
              </w:rPr>
            </w:pPr>
            <w:r>
              <w:rPr>
                <w:rFonts w:cs="Times New Roman"/>
                <w:color w:val="000000" w:themeColor="text1"/>
                <w:sz w:val="22"/>
                <w14:textFill>
                  <w14:solidFill>
                    <w14:schemeClr w14:val="tx1"/>
                  </w14:solidFill>
                </w14:textFill>
              </w:rPr>
              <w:t>221,43 mm</w:t>
            </w:r>
          </w:p>
        </w:tc>
      </w:tr>
    </w:tbl>
    <w:p w14:paraId="19CDF6F7">
      <w:pPr>
        <w:pStyle w:val="5"/>
        <w:ind w:firstLine="720"/>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 xml:space="preserve">Tabel 4. 11 menjelaskan ringkasan ketahanan regional </w:t>
      </w:r>
      <w:r>
        <w:rPr>
          <w:rFonts w:cs="Times New Roman"/>
          <w:i/>
          <w:iCs/>
          <w:color w:val="000000" w:themeColor="text1"/>
          <w:lang w:val="en-US"/>
          <w14:textFill>
            <w14:solidFill>
              <w14:schemeClr w14:val="tx1"/>
            </w14:solidFill>
          </w14:textFill>
        </w:rPr>
        <w:t xml:space="preserve">ToMarx </w:t>
      </w:r>
      <w:r>
        <w:rPr>
          <w:rFonts w:cs="Times New Roman"/>
          <w:color w:val="000000" w:themeColor="text1"/>
          <w:lang w:val="en-US"/>
          <w14:textFill>
            <w14:solidFill>
              <w14:schemeClr w14:val="tx1"/>
            </w14:solidFill>
          </w14:textFill>
        </w:rPr>
        <w:t xml:space="preserve">pada 10 wilayah sumber. </w:t>
      </w:r>
      <w:r>
        <w:rPr>
          <w:rFonts w:cs="Times New Roman"/>
          <w:color w:val="000000" w:themeColor="text1"/>
          <w14:textFill>
            <w14:solidFill>
              <w14:schemeClr w14:val="tx1"/>
            </w14:solidFill>
          </w14:textFill>
        </w:rPr>
        <w:t xml:space="preserve">Dengan demikian, evaluasi wilayah sumber tidak hanya menunjukkan kinerja agregat model, tetapi juga memetakan risiko spasialnya. </w:t>
      </w:r>
      <w:r>
        <w:rPr>
          <w:rFonts w:cs="Times New Roman"/>
          <w:i/>
          <w:iCs/>
          <w:color w:val="000000" w:themeColor="text1"/>
          <w14:textFill>
            <w14:solidFill>
              <w14:schemeClr w14:val="tx1"/>
            </w14:solidFill>
          </w14:textFill>
        </w:rPr>
        <w:t xml:space="preserve">ToMarx </w:t>
      </w:r>
      <w:r>
        <w:rPr>
          <w:rFonts w:cs="Times New Roman"/>
          <w:color w:val="000000" w:themeColor="text1"/>
          <w14:textFill>
            <w14:solidFill>
              <w14:schemeClr w14:val="tx1"/>
            </w14:solidFill>
          </w14:textFill>
        </w:rPr>
        <w:t xml:space="preserve">cukup stabil pada sebagian besar POS Jawa Barat, namun masih menghadapi keterbatasan pada kasus ekstrem dan sulit. Berdasarkan hasil ini, kontribusi utama pelatihan </w:t>
      </w:r>
      <w:r>
        <w:rPr>
          <w:rFonts w:cs="Times New Roman"/>
          <w:i/>
          <w:color w:val="000000" w:themeColor="text1"/>
          <w14:textFill>
            <w14:solidFill>
              <w14:schemeClr w14:val="tx1"/>
            </w14:solidFill>
          </w14:textFill>
        </w:rPr>
        <w:t>multi-</w:t>
      </w:r>
      <w:r>
        <w:rPr>
          <w:rFonts w:cs="Times New Roman"/>
          <w:i/>
          <w:color w:val="000000" w:themeColor="text1"/>
          <w:lang w:val="en-US"/>
          <w14:textFill>
            <w14:solidFill>
              <w14:schemeClr w14:val="tx1"/>
            </w14:solidFill>
          </w14:textFill>
        </w:rPr>
        <w:t>site</w:t>
      </w:r>
      <w:r>
        <w:rPr>
          <w:rFonts w:cs="Times New Roman"/>
          <w:color w:val="000000" w:themeColor="text1"/>
          <w14:textFill>
            <w14:solidFill>
              <w14:schemeClr w14:val="tx1"/>
            </w14:solidFill>
          </w14:textFill>
        </w:rPr>
        <w:t xml:space="preserve"> berada pada pembentukan representasi regional yang kompetitif untuk prediksi umum, sementara kejadian ekstrem tetap menjadi</w:t>
      </w:r>
      <w:r>
        <w:rPr>
          <w:rFonts w:cs="Times New Roman"/>
          <w:color w:val="000000" w:themeColor="text1"/>
          <w:lang w:val="en-US"/>
          <w14:textFill>
            <w14:solidFill>
              <w14:schemeClr w14:val="tx1"/>
            </w14:solidFill>
          </w14:textFill>
        </w:rPr>
        <w:t xml:space="preserve"> kekurangan penelitian.</w:t>
      </w:r>
    </w:p>
    <w:p w14:paraId="0D881090">
      <w:pPr>
        <w:pStyle w:val="4"/>
        <w:rPr>
          <w:color w:val="000000" w:themeColor="text1"/>
          <w14:textFill>
            <w14:solidFill>
              <w14:schemeClr w14:val="tx1"/>
            </w14:solidFill>
          </w14:textFill>
        </w:rPr>
      </w:pPr>
      <w:bookmarkStart w:id="131" w:name="_Toc236076764"/>
      <w:r>
        <w:rPr>
          <w:bCs/>
          <w:color w:val="000000" w:themeColor="text1"/>
          <w14:textFill>
            <w14:solidFill>
              <w14:schemeClr w14:val="tx1"/>
            </w14:solidFill>
          </w14:textFill>
        </w:rPr>
        <w:t xml:space="preserve">4.4.3 </w:t>
      </w:r>
      <w:r>
        <w:rPr>
          <w:bCs/>
          <w:i/>
          <w:iCs/>
          <w:color w:val="000000" w:themeColor="text1"/>
          <w14:textFill>
            <w14:solidFill>
              <w14:schemeClr w14:val="tx1"/>
            </w14:solidFill>
          </w14:textFill>
        </w:rPr>
        <w:t xml:space="preserve">Trade-off </w:t>
      </w:r>
      <w:r>
        <w:rPr>
          <w:bCs/>
          <w:color w:val="000000" w:themeColor="text1"/>
          <w14:textFill>
            <w14:solidFill>
              <w14:schemeClr w14:val="tx1"/>
            </w14:solidFill>
          </w14:textFill>
        </w:rPr>
        <w:t>Efisiensi Komputasi dan Implikasi Pemilihan Model</w:t>
      </w:r>
      <w:bookmarkEnd w:id="131"/>
    </w:p>
    <w:p w14:paraId="37F02BF2">
      <w:pPr>
        <w:pStyle w:val="68"/>
        <w:jc w:val="center"/>
        <w:rPr>
          <w:rFonts w:cs="Times New Roman"/>
          <w:color w:val="C00000"/>
          <w:lang w:val="en-US"/>
        </w:rPr>
      </w:pPr>
      <w:r>
        <w:rPr>
          <w:rFonts w:cs="Times New Roman"/>
          <w:color w:val="C00000"/>
          <w:lang w:val="en-US"/>
        </w:rPr>
        <w:drawing>
          <wp:inline distT="0" distB="0" distL="114300" distR="114300">
            <wp:extent cx="4655820" cy="310388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656354" cy="3104235"/>
                    </a:xfrm>
                    <a:prstGeom prst="rect">
                      <a:avLst/>
                    </a:prstGeom>
                  </pic:spPr>
                </pic:pic>
              </a:graphicData>
            </a:graphic>
          </wp:inline>
        </w:drawing>
      </w:r>
    </w:p>
    <w:p w14:paraId="13D2AF45">
      <w:pPr>
        <w:pStyle w:val="11"/>
        <w:keepNext/>
        <w:jc w:val="center"/>
        <w:rPr>
          <w:b/>
          <w:i w:val="0"/>
          <w:color w:val="auto"/>
          <w:sz w:val="24"/>
          <w:lang w:val="en-US"/>
        </w:rPr>
      </w:pPr>
      <w:bookmarkStart w:id="132" w:name="_Toc236077435"/>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24</w:t>
      </w:r>
      <w:r>
        <w:rPr>
          <w:b/>
          <w:i w:val="0"/>
          <w:color w:val="auto"/>
          <w:sz w:val="24"/>
        </w:rPr>
        <w:fldChar w:fldCharType="end"/>
      </w:r>
      <w:r>
        <w:rPr>
          <w:b/>
          <w:i w:val="0"/>
          <w:color w:val="auto"/>
          <w:sz w:val="24"/>
          <w:lang w:val="en-US"/>
        </w:rPr>
        <w:t xml:space="preserve"> </w:t>
      </w:r>
      <w:r>
        <w:rPr>
          <w:b/>
          <w:iCs w:val="0"/>
          <w:color w:val="auto"/>
          <w:sz w:val="24"/>
          <w:lang w:val="en-US"/>
        </w:rPr>
        <w:t>Trade-off</w:t>
      </w:r>
      <w:r>
        <w:rPr>
          <w:b/>
          <w:i w:val="0"/>
          <w:color w:val="auto"/>
          <w:sz w:val="24"/>
          <w:lang w:val="en-US"/>
        </w:rPr>
        <w:t xml:space="preserve"> efisiensi komputasi terhadap akurasi model</w:t>
      </w:r>
      <w:bookmarkEnd w:id="132"/>
    </w:p>
    <w:p w14:paraId="030C065D">
      <w:pPr>
        <w:pStyle w:val="5"/>
        <w:spacing w:before="0" w:after="0"/>
        <w:ind w:firstLine="720"/>
        <w:rPr>
          <w:b/>
          <w:lang w:val="en-US"/>
        </w:rPr>
      </w:pPr>
      <w:r>
        <w:rPr>
          <w:rFonts w:cs="Times New Roman"/>
          <w:i/>
          <w:iCs/>
          <w:color w:val="000000" w:themeColor="text1"/>
          <w14:textFill>
            <w14:solidFill>
              <w14:schemeClr w14:val="tx1"/>
            </w14:solidFill>
          </w14:textFill>
        </w:rPr>
        <w:t xml:space="preserve">Trade-off </w:t>
      </w:r>
      <w:r>
        <w:rPr>
          <w:rFonts w:cs="Times New Roman"/>
          <w:color w:val="000000" w:themeColor="text1"/>
          <w14:textFill>
            <w14:solidFill>
              <w14:schemeClr w14:val="tx1"/>
            </w14:solidFill>
          </w14:textFill>
        </w:rPr>
        <w:t>efisiensi pada Gambar 4.</w:t>
      </w:r>
      <w:r>
        <w:rPr>
          <w:rFonts w:cs="Times New Roman"/>
          <w:color w:val="000000" w:themeColor="text1"/>
          <w:lang w:val="en-US"/>
          <w14:textFill>
            <w14:solidFill>
              <w14:schemeClr w14:val="tx1"/>
            </w14:solidFill>
          </w14:textFill>
        </w:rPr>
        <w:t xml:space="preserve"> 24</w:t>
      </w:r>
      <w:r>
        <w:rPr>
          <w:rFonts w:cs="Times New Roman"/>
          <w:color w:val="000000" w:themeColor="text1"/>
          <w14:textFill>
            <w14:solidFill>
              <w14:schemeClr w14:val="tx1"/>
            </w14:solidFill>
          </w14:textFill>
        </w:rPr>
        <w:t xml:space="preserve"> menunjukkan bahwa akurasi terbaik tidak selalu sejalan dengan biaya komputasi yang paling rendah. LSTM memiliki FLOPs dan jumlah parameter paling kecil, tetapi RMSE-nya masih sedikit lebih tinggi dibanding GRU dan </w:t>
      </w:r>
      <w:r>
        <w:rPr>
          <w:rFonts w:cs="Times New Roman"/>
          <w:i/>
          <w:iCs/>
          <w:color w:val="000000" w:themeColor="text1"/>
          <w14:textFill>
            <w14:solidFill>
              <w14:schemeClr w14:val="tx1"/>
            </w14:solidFill>
          </w14:textFill>
        </w:rPr>
        <w:t>Transformer Encoder-Only</w:t>
      </w:r>
      <w:r>
        <w:rPr>
          <w:rFonts w:cs="Times New Roman"/>
          <w:color w:val="000000" w:themeColor="text1"/>
          <w14:textFill>
            <w14:solidFill>
              <w14:schemeClr w14:val="tx1"/>
            </w14:solidFill>
          </w14:textFill>
        </w:rPr>
        <w:t xml:space="preserve">. GRU menjadi model dengan RMSE terbaik, tetapi membutuhkan FLOPs lebih besar daripada </w:t>
      </w:r>
      <w:r>
        <w:rPr>
          <w:rFonts w:cs="Times New Roman"/>
          <w:i/>
          <w:iCs/>
          <w:color w:val="000000" w:themeColor="text1"/>
          <w14:textFill>
            <w14:solidFill>
              <w14:schemeClr w14:val="tx1"/>
            </w14:solidFill>
          </w14:textFill>
        </w:rPr>
        <w:t>Transformer Encoder-Only</w:t>
      </w:r>
      <w:r>
        <w:rPr>
          <w:rFonts w:cs="Times New Roman"/>
          <w:color w:val="000000" w:themeColor="text1"/>
          <w14:textFill>
            <w14:solidFill>
              <w14:schemeClr w14:val="tx1"/>
            </w14:solidFill>
          </w14:textFill>
        </w:rPr>
        <w:t xml:space="preserve">. Sebaliknya, </w:t>
      </w:r>
      <w:r>
        <w:rPr>
          <w:rFonts w:cs="Times New Roman"/>
          <w:i/>
          <w:iCs/>
          <w:color w:val="000000" w:themeColor="text1"/>
          <w14:textFill>
            <w14:solidFill>
              <w14:schemeClr w14:val="tx1"/>
            </w14:solidFill>
          </w14:textFill>
        </w:rPr>
        <w:t xml:space="preserve">Transformer Encoder-Only </w:t>
      </w:r>
      <w:r>
        <w:rPr>
          <w:rFonts w:cs="Times New Roman"/>
          <w:color w:val="000000" w:themeColor="text1"/>
          <w14:textFill>
            <w14:solidFill>
              <w14:schemeClr w14:val="tx1"/>
            </w14:solidFill>
          </w14:textFill>
        </w:rPr>
        <w:t xml:space="preserve">memberikan posisi yang menarik: RMSE-nya hampir identik dengan GRU, tetapi FLOPs-nya lebih rendah. </w:t>
      </w:r>
      <w:r>
        <w:rPr>
          <w:rFonts w:cs="Times New Roman"/>
          <w:i/>
          <w:iCs/>
          <w:color w:val="000000" w:themeColor="text1"/>
          <w14:textFill>
            <w14:solidFill>
              <w14:schemeClr w14:val="tx1"/>
            </w14:solidFill>
          </w14:textFill>
        </w:rPr>
        <w:t xml:space="preserve">Transformer </w:t>
      </w:r>
      <w:r>
        <w:rPr>
          <w:rFonts w:cs="Times New Roman"/>
          <w:i/>
          <w:iCs/>
          <w:color w:val="000000" w:themeColor="text1"/>
          <w:lang w:val="en-US"/>
          <w14:textFill>
            <w14:solidFill>
              <w14:schemeClr w14:val="tx1"/>
            </w14:solidFill>
          </w14:textFill>
        </w:rPr>
        <w:t>Full</w:t>
      </w:r>
      <w:r>
        <w:rPr>
          <w:rFonts w:cs="Times New Roman"/>
          <w:i/>
          <w:iCs/>
          <w:color w:val="000000" w:themeColor="text1"/>
          <w14:textFill>
            <w14:solidFill>
              <w14:schemeClr w14:val="tx1"/>
            </w14:solidFill>
          </w14:textFill>
        </w:rPr>
        <w:t xml:space="preserve"> </w:t>
      </w:r>
      <w:r>
        <w:rPr>
          <w:rFonts w:cs="Times New Roman"/>
          <w:color w:val="000000" w:themeColor="text1"/>
          <w14:textFill>
            <w14:solidFill>
              <w14:schemeClr w14:val="tx1"/>
            </w14:solidFill>
          </w14:textFill>
        </w:rPr>
        <w:t>menjadi pilihan yang paling tidak efisien karena jumlah parameter dan FLOPs meningkat secara besar tanpa perbaikan akurasi yang sebanding.</w:t>
      </w:r>
      <w:r>
        <w:rPr>
          <w:rFonts w:cs="Times New Roman"/>
          <w:color w:val="000000" w:themeColor="text1"/>
          <w:lang w:val="en-US"/>
          <w14:textFill>
            <w14:solidFill>
              <w14:schemeClr w14:val="tx1"/>
            </w14:solidFill>
          </w14:textFill>
        </w:rPr>
        <w:t xml:space="preserve"> </w:t>
      </w:r>
      <w:r>
        <w:rPr>
          <w:rFonts w:cs="Times New Roman"/>
          <w:color w:val="000000" w:themeColor="text1"/>
          <w14:textFill>
            <w14:solidFill>
              <w14:schemeClr w14:val="tx1"/>
            </w14:solidFill>
          </w14:textFill>
        </w:rPr>
        <w:t xml:space="preserve">Panel </w:t>
      </w:r>
      <w:r>
        <w:rPr>
          <w:rFonts w:cs="Times New Roman"/>
          <w:color w:val="000000" w:themeColor="text1"/>
          <w:lang w:val="en-US"/>
          <w14:textFill>
            <w14:solidFill>
              <w14:schemeClr w14:val="tx1"/>
            </w14:solidFill>
          </w14:textFill>
        </w:rPr>
        <w:t xml:space="preserve">atas </w:t>
      </w:r>
      <w:r>
        <w:rPr>
          <w:rFonts w:cs="Times New Roman"/>
          <w:color w:val="000000" w:themeColor="text1"/>
          <w14:textFill>
            <w14:solidFill>
              <w14:schemeClr w14:val="tx1"/>
            </w14:solidFill>
          </w14:textFill>
        </w:rPr>
        <w:t>membandingkan FLOPs dan RMSE, sedangkan panel kanan membandingkan jumlah parameter dan RMSE; posisi kiri-bawah menunjukkan model yang lebih efisien sekaligus lebih akurat.</w:t>
      </w:r>
    </w:p>
    <w:p w14:paraId="0B21C918">
      <w:pPr>
        <w:pStyle w:val="5"/>
        <w:spacing w:before="0" w:after="0"/>
        <w:ind w:firstLine="720"/>
        <w:rPr>
          <w:b/>
          <w:lang w:val="en-US"/>
        </w:rPr>
      </w:pPr>
      <w:r>
        <w:rPr>
          <w:rFonts w:cs="Times New Roman"/>
          <w:lang w:val="en-US"/>
        </w:rPr>
        <w:t xml:space="preserve">Pada Tabel 4. 12, </w:t>
      </w:r>
      <w:r>
        <w:rPr>
          <w:rFonts w:cs="Times New Roman"/>
        </w:rPr>
        <w:t xml:space="preserve">Uji </w:t>
      </w:r>
      <w:r>
        <w:rPr>
          <w:rFonts w:cs="Times New Roman"/>
          <w:i/>
          <w:iCs/>
        </w:rPr>
        <w:t xml:space="preserve">Friedman </w:t>
      </w:r>
      <w:r>
        <w:rPr>
          <w:rFonts w:cs="Times New Roman"/>
        </w:rPr>
        <w:t xml:space="preserve">terhadap RMSE per horizon menghasilkan nilai </w:t>
      </w:r>
      <m:oMath>
        <m:r>
          <m:rPr>
            <m:nor/>
          </m:rPr>
          <w:rPr>
            <w:rFonts w:cs="Times New Roman"/>
            <w:i/>
          </w:rPr>
          <m:t>p</m:t>
        </m:r>
        <m:r>
          <m:rPr>
            <m:nor/>
            <m:sty m:val="p"/>
          </m:rPr>
          <w:rPr>
            <w:rFonts w:cs="Times New Roman"/>
          </w:rPr>
          <m:t>=0,0073</m:t>
        </m:r>
      </m:oMath>
      <w:r>
        <w:rPr>
          <w:rFonts w:cs="Times New Roman"/>
        </w:rPr>
        <w:t xml:space="preserve">, sehingga terdapat perbedaan kinerja yang signifikan antaran model pada taraf 5%. Namun, uji Wilcoxon berpasangan menunjukkan bahwa perbedaan </w:t>
      </w:r>
      <w:r>
        <w:rPr>
          <w:rFonts w:cs="Times New Roman"/>
          <w:i/>
          <w:iCs/>
        </w:rPr>
        <w:t xml:space="preserve">GRU </w:t>
      </w:r>
      <w:r>
        <w:rPr>
          <w:rFonts w:cs="Times New Roman"/>
        </w:rPr>
        <w:t xml:space="preserve">dan </w:t>
      </w:r>
      <w:r>
        <w:rPr>
          <w:rFonts w:cs="Times New Roman"/>
          <w:i/>
          <w:iCs/>
        </w:rPr>
        <w:t>Transformer Encoder-Only</w:t>
      </w:r>
      <w:r>
        <w:rPr>
          <w:rFonts w:cs="Times New Roman"/>
        </w:rPr>
        <w:t xml:space="preserve"> tidak signifikan (</w:t>
      </w:r>
      <m:oMath>
        <m:r>
          <m:rPr>
            <m:nor/>
          </m:rPr>
          <w:rPr>
            <w:rFonts w:cs="Times New Roman"/>
            <w:i/>
          </w:rPr>
          <m:t>p</m:t>
        </m:r>
        <m:r>
          <m:rPr>
            <m:nor/>
            <m:sty m:val="p"/>
          </m:rPr>
          <w:rPr>
            <w:rFonts w:cs="Times New Roman"/>
          </w:rPr>
          <m:t>=0,8438</m:t>
        </m:r>
      </m:oMath>
      <w:r>
        <w:rPr>
          <w:rFonts w:cs="Times New Roman"/>
        </w:rPr>
        <w:t>).</w:t>
      </w:r>
    </w:p>
    <w:p w14:paraId="319AF7D8">
      <w:pPr>
        <w:pStyle w:val="5"/>
        <w:ind w:firstLine="720"/>
        <w:rPr>
          <w:rFonts w:cs="Times New Roman"/>
        </w:rPr>
      </w:pPr>
    </w:p>
    <w:p w14:paraId="2A2C4EE0">
      <w:pPr>
        <w:pStyle w:val="66"/>
        <w:jc w:val="center"/>
        <w:rPr>
          <w:rFonts w:cs="Times New Roman"/>
          <w:b/>
          <w:bCs/>
          <w:color w:val="000000" w:themeColor="text1"/>
          <w:lang w:val="en-US"/>
          <w14:textFill>
            <w14:solidFill>
              <w14:schemeClr w14:val="tx1"/>
            </w14:solidFill>
          </w14:textFill>
        </w:rPr>
      </w:pPr>
      <w:bookmarkStart w:id="133" w:name="_Toc236786435"/>
      <w:r>
        <w:rPr>
          <w:rFonts w:cs="Times New Roman"/>
          <w:b/>
          <w:bCs/>
          <w:color w:val="000000" w:themeColor="text1"/>
          <w14:textFill>
            <w14:solidFill>
              <w14:schemeClr w14:val="tx1"/>
            </w14:solidFill>
          </w14:textFill>
        </w:rPr>
        <w:t xml:space="preserve">Tabel 4. </w:t>
      </w:r>
      <w:r>
        <w:rPr>
          <w:rFonts w:cs="Times New Roman"/>
          <w:b/>
          <w:bCs/>
          <w:color w:val="000000" w:themeColor="text1"/>
          <w14:textFill>
            <w14:solidFill>
              <w14:schemeClr w14:val="tx1"/>
            </w14:solidFill>
          </w14:textFill>
        </w:rPr>
        <w:fldChar w:fldCharType="begin"/>
      </w:r>
      <w:r>
        <w:rPr>
          <w:rFonts w:cs="Times New Roman"/>
          <w:b/>
          <w:bCs/>
          <w:color w:val="000000" w:themeColor="text1"/>
          <w14:textFill>
            <w14:solidFill>
              <w14:schemeClr w14:val="tx1"/>
            </w14:solidFill>
          </w14:textFill>
        </w:rPr>
        <w:instrText xml:space="preserve"> SEQ Tabel_4. \* ARABIC </w:instrText>
      </w:r>
      <w:r>
        <w:rPr>
          <w:rFonts w:cs="Times New Roman"/>
          <w:b/>
          <w:bCs/>
          <w:color w:val="000000" w:themeColor="text1"/>
          <w14:textFill>
            <w14:solidFill>
              <w14:schemeClr w14:val="tx1"/>
            </w14:solidFill>
          </w14:textFill>
        </w:rPr>
        <w:fldChar w:fldCharType="separate"/>
      </w:r>
      <w:r>
        <w:rPr>
          <w:rFonts w:cs="Times New Roman"/>
          <w:b/>
          <w:bCs/>
          <w:color w:val="000000" w:themeColor="text1"/>
          <w14:textFill>
            <w14:solidFill>
              <w14:schemeClr w14:val="tx1"/>
            </w14:solidFill>
          </w14:textFill>
        </w:rPr>
        <w:t>12</w:t>
      </w:r>
      <w:r>
        <w:rPr>
          <w:rFonts w:cs="Times New Roman"/>
          <w:b/>
          <w:bCs/>
          <w:color w:val="000000" w:themeColor="text1"/>
          <w14:textFill>
            <w14:solidFill>
              <w14:schemeClr w14:val="tx1"/>
            </w14:solidFill>
          </w14:textFill>
        </w:rPr>
        <w:fldChar w:fldCharType="end"/>
      </w:r>
      <w:r>
        <w:rPr>
          <w:rFonts w:cs="Times New Roman"/>
          <w:b/>
          <w:bCs/>
          <w:color w:val="000000" w:themeColor="text1"/>
          <w:lang w:val="en-US"/>
          <w14:textFill>
            <w14:solidFill>
              <w14:schemeClr w14:val="tx1"/>
            </w14:solidFill>
          </w14:textFill>
        </w:rPr>
        <w:t xml:space="preserve"> Hasil uji statistik perbandingan model pada wilayah combined</w:t>
      </w:r>
      <w:bookmarkEnd w:id="133"/>
    </w:p>
    <w:tbl>
      <w:tblPr>
        <w:tblStyle w:val="25"/>
        <w:tblW w:w="8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8"/>
        <w:gridCol w:w="1707"/>
        <w:gridCol w:w="1468"/>
        <w:gridCol w:w="1070"/>
        <w:gridCol w:w="876"/>
        <w:gridCol w:w="1490"/>
      </w:tblGrid>
      <w:tr w14:paraId="7957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678" w:type="dxa"/>
            <w:shd w:val="clear" w:color="auto" w:fill="FFFFFF"/>
            <w:vAlign w:val="center"/>
          </w:tcPr>
          <w:p w14:paraId="00DAA0D9">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Uji</w:t>
            </w:r>
          </w:p>
        </w:tc>
        <w:tc>
          <w:tcPr>
            <w:tcW w:w="1707" w:type="dxa"/>
            <w:shd w:val="clear" w:color="auto" w:fill="FFFFFF"/>
            <w:vAlign w:val="center"/>
          </w:tcPr>
          <w:p w14:paraId="5E596485">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Model A</w:t>
            </w:r>
          </w:p>
        </w:tc>
        <w:tc>
          <w:tcPr>
            <w:tcW w:w="1468" w:type="dxa"/>
            <w:shd w:val="clear" w:color="auto" w:fill="FFFFFF"/>
            <w:vAlign w:val="center"/>
          </w:tcPr>
          <w:p w14:paraId="26722B4B">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Model B</w:t>
            </w:r>
          </w:p>
        </w:tc>
        <w:tc>
          <w:tcPr>
            <w:tcW w:w="1070" w:type="dxa"/>
            <w:shd w:val="clear" w:color="auto" w:fill="FFFFFF"/>
            <w:vAlign w:val="center"/>
          </w:tcPr>
          <w:p w14:paraId="04F3AD8C">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Statistik</w:t>
            </w:r>
          </w:p>
        </w:tc>
        <w:tc>
          <w:tcPr>
            <w:tcW w:w="876" w:type="dxa"/>
            <w:shd w:val="clear" w:color="auto" w:fill="FFFFFF"/>
            <w:vAlign w:val="center"/>
          </w:tcPr>
          <w:p w14:paraId="13558A69">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p-value</w:t>
            </w:r>
          </w:p>
        </w:tc>
        <w:tc>
          <w:tcPr>
            <w:tcW w:w="1490" w:type="dxa"/>
            <w:shd w:val="clear" w:color="auto" w:fill="FFFFFF"/>
            <w:vAlign w:val="center"/>
          </w:tcPr>
          <w:p w14:paraId="53AB9A9C">
            <w:pPr>
              <w:pStyle w:val="66"/>
              <w:jc w:val="center"/>
              <w:rPr>
                <w:rFonts w:cs="Times New Roman"/>
                <w:b/>
                <w:bCs/>
                <w:color w:val="000000" w:themeColor="text1"/>
                <w:sz w:val="22"/>
                <w:szCs w:val="21"/>
                <w14:textFill>
                  <w14:solidFill>
                    <w14:schemeClr w14:val="tx1"/>
                  </w14:solidFill>
                </w14:textFill>
              </w:rPr>
            </w:pPr>
            <w:r>
              <w:rPr>
                <w:rFonts w:cs="Times New Roman"/>
                <w:b/>
                <w:bCs/>
                <w:color w:val="000000" w:themeColor="text1"/>
                <w:sz w:val="22"/>
                <w:szCs w:val="21"/>
                <w:lang w:val="en-US" w:eastAsia="zh-CN"/>
                <w14:textFill>
                  <w14:solidFill>
                    <w14:schemeClr w14:val="tx1"/>
                  </w14:solidFill>
                </w14:textFill>
              </w:rPr>
              <w:t>Kesimpulan</w:t>
            </w:r>
          </w:p>
        </w:tc>
      </w:tr>
      <w:tr w14:paraId="534E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shd w:val="clear" w:color="auto" w:fill="FFFFFF"/>
            <w:vAlign w:val="center"/>
          </w:tcPr>
          <w:p w14:paraId="23AEE898">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Friedman (semua model, H1–H6)</w:t>
            </w:r>
          </w:p>
        </w:tc>
        <w:tc>
          <w:tcPr>
            <w:tcW w:w="1707" w:type="dxa"/>
            <w:shd w:val="clear" w:color="auto" w:fill="FFFFFF"/>
            <w:vAlign w:val="center"/>
          </w:tcPr>
          <w:p w14:paraId="081DE41E">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Semua model</w:t>
            </w:r>
          </w:p>
        </w:tc>
        <w:tc>
          <w:tcPr>
            <w:tcW w:w="1468" w:type="dxa"/>
            <w:shd w:val="clear" w:color="auto" w:fill="FFFFFF"/>
            <w:vAlign w:val="center"/>
          </w:tcPr>
          <w:p w14:paraId="7DC4FEA7">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w:t>
            </w:r>
          </w:p>
        </w:tc>
        <w:tc>
          <w:tcPr>
            <w:tcW w:w="1070" w:type="dxa"/>
            <w:shd w:val="clear" w:color="auto" w:fill="FFFFFF"/>
            <w:vAlign w:val="center"/>
          </w:tcPr>
          <w:p w14:paraId="096A4FDF">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14,0000</w:t>
            </w:r>
          </w:p>
        </w:tc>
        <w:tc>
          <w:tcPr>
            <w:tcW w:w="876" w:type="dxa"/>
            <w:shd w:val="clear" w:color="auto" w:fill="FFFFFF"/>
            <w:vAlign w:val="center"/>
          </w:tcPr>
          <w:p w14:paraId="4E86D396">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0,0073</w:t>
            </w:r>
          </w:p>
        </w:tc>
        <w:tc>
          <w:tcPr>
            <w:tcW w:w="1490" w:type="dxa"/>
            <w:shd w:val="clear" w:color="auto" w:fill="FFFFFF"/>
            <w:vAlign w:val="center"/>
          </w:tcPr>
          <w:p w14:paraId="256FF676">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Signifikan</w:t>
            </w:r>
          </w:p>
        </w:tc>
      </w:tr>
      <w:tr w14:paraId="717E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shd w:val="clear" w:color="auto" w:fill="FFFFFF"/>
            <w:vAlign w:val="center"/>
          </w:tcPr>
          <w:p w14:paraId="14D8C0B9">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Wilcoxon Signed-Rank</w:t>
            </w:r>
          </w:p>
        </w:tc>
        <w:tc>
          <w:tcPr>
            <w:tcW w:w="1707" w:type="dxa"/>
            <w:shd w:val="clear" w:color="auto" w:fill="FFFFFF"/>
            <w:vAlign w:val="center"/>
          </w:tcPr>
          <w:p w14:paraId="5A662F14">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Transformer (Enc-Only)</w:t>
            </w:r>
          </w:p>
        </w:tc>
        <w:tc>
          <w:tcPr>
            <w:tcW w:w="1468" w:type="dxa"/>
            <w:shd w:val="clear" w:color="auto" w:fill="FFFFFF"/>
            <w:vAlign w:val="center"/>
          </w:tcPr>
          <w:p w14:paraId="1D29031C">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GRU</w:t>
            </w:r>
          </w:p>
        </w:tc>
        <w:tc>
          <w:tcPr>
            <w:tcW w:w="1070" w:type="dxa"/>
            <w:shd w:val="clear" w:color="auto" w:fill="FFFFFF"/>
            <w:vAlign w:val="center"/>
          </w:tcPr>
          <w:p w14:paraId="496911C7">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9,000</w:t>
            </w:r>
          </w:p>
        </w:tc>
        <w:tc>
          <w:tcPr>
            <w:tcW w:w="876" w:type="dxa"/>
            <w:shd w:val="clear" w:color="auto" w:fill="FFFFFF"/>
            <w:vAlign w:val="center"/>
          </w:tcPr>
          <w:p w14:paraId="5EDBD981">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0,8438</w:t>
            </w:r>
          </w:p>
        </w:tc>
        <w:tc>
          <w:tcPr>
            <w:tcW w:w="1490" w:type="dxa"/>
            <w:shd w:val="clear" w:color="auto" w:fill="FFFFFF"/>
            <w:vAlign w:val="center"/>
          </w:tcPr>
          <w:p w14:paraId="33341E61">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Tidak signifikan</w:t>
            </w:r>
          </w:p>
        </w:tc>
      </w:tr>
      <w:tr w14:paraId="440A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shd w:val="clear" w:color="auto" w:fill="FFFFFF"/>
            <w:vAlign w:val="center"/>
          </w:tcPr>
          <w:p w14:paraId="119E9A48">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Wilcoxon Signed-Rank</w:t>
            </w:r>
          </w:p>
        </w:tc>
        <w:tc>
          <w:tcPr>
            <w:tcW w:w="1707" w:type="dxa"/>
            <w:shd w:val="clear" w:color="auto" w:fill="FFFFFF"/>
            <w:vAlign w:val="center"/>
          </w:tcPr>
          <w:p w14:paraId="0C917661">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Transformer (Enc-Only)</w:t>
            </w:r>
          </w:p>
        </w:tc>
        <w:tc>
          <w:tcPr>
            <w:tcW w:w="1468" w:type="dxa"/>
            <w:shd w:val="clear" w:color="auto" w:fill="FFFFFF"/>
            <w:vAlign w:val="center"/>
          </w:tcPr>
          <w:p w14:paraId="43771FE2">
            <w:pPr>
              <w:pStyle w:val="66"/>
              <w:jc w:val="center"/>
              <w:rPr>
                <w:rFonts w:cs="Times New Roman"/>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Transformer (Enc-Dec)</w:t>
            </w:r>
          </w:p>
        </w:tc>
        <w:tc>
          <w:tcPr>
            <w:tcW w:w="1070" w:type="dxa"/>
            <w:shd w:val="clear" w:color="auto" w:fill="FFFFFF"/>
            <w:vAlign w:val="center"/>
          </w:tcPr>
          <w:p w14:paraId="4C0F073A">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0,000</w:t>
            </w:r>
          </w:p>
        </w:tc>
        <w:tc>
          <w:tcPr>
            <w:tcW w:w="876" w:type="dxa"/>
            <w:shd w:val="clear" w:color="auto" w:fill="FFFFFF"/>
            <w:vAlign w:val="center"/>
          </w:tcPr>
          <w:p w14:paraId="77952C03">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0,0312</w:t>
            </w:r>
          </w:p>
        </w:tc>
        <w:tc>
          <w:tcPr>
            <w:tcW w:w="1490" w:type="dxa"/>
            <w:shd w:val="clear" w:color="auto" w:fill="FFFFFF"/>
            <w:vAlign w:val="center"/>
          </w:tcPr>
          <w:p w14:paraId="30C6572B">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Signifikan</w:t>
            </w:r>
          </w:p>
        </w:tc>
      </w:tr>
      <w:tr w14:paraId="7BA8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shd w:val="clear" w:color="auto" w:fill="FFFFFF"/>
            <w:vAlign w:val="center"/>
          </w:tcPr>
          <w:p w14:paraId="6D32FCD6">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Wilcoxon Signed-Rank</w:t>
            </w:r>
          </w:p>
        </w:tc>
        <w:tc>
          <w:tcPr>
            <w:tcW w:w="1707" w:type="dxa"/>
            <w:shd w:val="clear" w:color="auto" w:fill="FFFFFF"/>
            <w:vAlign w:val="center"/>
          </w:tcPr>
          <w:p w14:paraId="581A88AA">
            <w:pPr>
              <w:pStyle w:val="66"/>
              <w:jc w:val="center"/>
              <w:rPr>
                <w:rFonts w:cs="Times New Roman"/>
                <w:i/>
                <w:iCs/>
                <w:color w:val="000000" w:themeColor="text1"/>
                <w:sz w:val="22"/>
                <w:szCs w:val="21"/>
                <w14:textFill>
                  <w14:solidFill>
                    <w14:schemeClr w14:val="tx1"/>
                  </w14:solidFill>
                </w14:textFill>
              </w:rPr>
            </w:pPr>
            <w:r>
              <w:rPr>
                <w:rFonts w:cs="Times New Roman"/>
                <w:i/>
                <w:iCs/>
                <w:color w:val="000000" w:themeColor="text1"/>
                <w:sz w:val="22"/>
                <w:szCs w:val="21"/>
                <w:lang w:val="en-US" w:eastAsia="zh-CN"/>
                <w14:textFill>
                  <w14:solidFill>
                    <w14:schemeClr w14:val="tx1"/>
                  </w14:solidFill>
                </w14:textFill>
              </w:rPr>
              <w:t>Transformer (Enc-Dec)</w:t>
            </w:r>
          </w:p>
        </w:tc>
        <w:tc>
          <w:tcPr>
            <w:tcW w:w="1468" w:type="dxa"/>
            <w:shd w:val="clear" w:color="auto" w:fill="FFFFFF"/>
            <w:vAlign w:val="center"/>
          </w:tcPr>
          <w:p w14:paraId="0CF9C365">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GRU</w:t>
            </w:r>
          </w:p>
        </w:tc>
        <w:tc>
          <w:tcPr>
            <w:tcW w:w="1070" w:type="dxa"/>
            <w:shd w:val="clear" w:color="auto" w:fill="FFFFFF"/>
            <w:vAlign w:val="center"/>
          </w:tcPr>
          <w:p w14:paraId="64C9A0CD">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0,000</w:t>
            </w:r>
          </w:p>
        </w:tc>
        <w:tc>
          <w:tcPr>
            <w:tcW w:w="876" w:type="dxa"/>
            <w:shd w:val="clear" w:color="auto" w:fill="FFFFFF"/>
            <w:vAlign w:val="center"/>
          </w:tcPr>
          <w:p w14:paraId="262AD1A2">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0,0312</w:t>
            </w:r>
          </w:p>
        </w:tc>
        <w:tc>
          <w:tcPr>
            <w:tcW w:w="1490" w:type="dxa"/>
            <w:shd w:val="clear" w:color="auto" w:fill="FFFFFF"/>
            <w:vAlign w:val="center"/>
          </w:tcPr>
          <w:p w14:paraId="53B902AD">
            <w:pPr>
              <w:pStyle w:val="66"/>
              <w:jc w:val="center"/>
              <w:rPr>
                <w:rFonts w:cs="Times New Roman"/>
                <w:color w:val="000000" w:themeColor="text1"/>
                <w:sz w:val="22"/>
                <w:szCs w:val="21"/>
                <w14:textFill>
                  <w14:solidFill>
                    <w14:schemeClr w14:val="tx1"/>
                  </w14:solidFill>
                </w14:textFill>
              </w:rPr>
            </w:pPr>
            <w:r>
              <w:rPr>
                <w:rFonts w:cs="Times New Roman"/>
                <w:color w:val="000000" w:themeColor="text1"/>
                <w:sz w:val="22"/>
                <w:szCs w:val="21"/>
                <w:lang w:val="en-US" w:eastAsia="zh-CN"/>
                <w14:textFill>
                  <w14:solidFill>
                    <w14:schemeClr w14:val="tx1"/>
                  </w14:solidFill>
                </w14:textFill>
              </w:rPr>
              <w:t>Signifikan</w:t>
            </w:r>
          </w:p>
        </w:tc>
      </w:tr>
    </w:tbl>
    <w:p w14:paraId="0ADC2BEC">
      <w:pPr>
        <w:pStyle w:val="5"/>
        <w:ind w:firstLine="720"/>
      </w:pPr>
      <w:r>
        <w:rPr>
          <w:rFonts w:cs="Times New Roman"/>
        </w:rPr>
        <w:t xml:space="preserve">Dengan demikian, kesimpulan yang lebih tepat bukan bahwa GRU secara mutlak jauh lebih baik, melainkan bahwa GRU-IFPOA-X menjadi peringkat pertama berdasarkan RMSE, sementara </w:t>
      </w:r>
      <w:r>
        <w:rPr>
          <w:rFonts w:cs="Times New Roman"/>
          <w:i/>
          <w:iCs/>
        </w:rPr>
        <w:t>Transformer Encoder-Only</w:t>
      </w:r>
      <w:r>
        <w:rPr>
          <w:rFonts w:cs="Times New Roman"/>
        </w:rPr>
        <w:t xml:space="preserve"> tetap kompetitif dan tetap digunakan sebagai model utama </w:t>
      </w:r>
      <w:r>
        <w:rPr>
          <w:rFonts w:cs="Times New Roman"/>
          <w:i/>
          <w:iCs/>
        </w:rPr>
        <w:t xml:space="preserve">ToMarx </w:t>
      </w:r>
      <w:r>
        <w:rPr>
          <w:rFonts w:cs="Times New Roman"/>
        </w:rPr>
        <w:t xml:space="preserve">pada tahap </w:t>
      </w:r>
      <w:r>
        <w:rPr>
          <w:rFonts w:cs="Times New Roman"/>
          <w:i/>
          <w:iCs/>
        </w:rPr>
        <w:t>transfer learning</w:t>
      </w:r>
      <w:r>
        <w:rPr>
          <w:rFonts w:cs="Times New Roman"/>
        </w:rPr>
        <w:t xml:space="preserve"> karena sesuai dengan rancangan proposal. Hasil BO pada </w:t>
      </w:r>
      <w:r>
        <w:rPr>
          <w:rFonts w:cs="Times New Roman"/>
          <w:i/>
          <w:iCs/>
        </w:rPr>
        <w:t xml:space="preserve">Transformer </w:t>
      </w:r>
      <w:r>
        <w:rPr>
          <w:rFonts w:cs="Times New Roman"/>
        </w:rPr>
        <w:t xml:space="preserve">dicatat sebagai pembanding tambahan yang menunjukkan batas kinerja alternatif, sedangkan klaim utama </w:t>
      </w:r>
      <w:r>
        <w:rPr>
          <w:rFonts w:cs="Times New Roman"/>
          <w:i/>
          <w:iCs/>
        </w:rPr>
        <w:t xml:space="preserve">ToMarx </w:t>
      </w:r>
      <w:r>
        <w:rPr>
          <w:rFonts w:cs="Times New Roman"/>
        </w:rPr>
        <w:t xml:space="preserve">tetap didasarkan pada kombinasi </w:t>
      </w:r>
      <w:r>
        <w:rPr>
          <w:rFonts w:cs="Times New Roman"/>
          <w:i/>
          <w:iCs/>
        </w:rPr>
        <w:t>Transformer Encoder-Only</w:t>
      </w:r>
      <w:r>
        <w:rPr>
          <w:rFonts w:cs="Times New Roman"/>
        </w:rPr>
        <w:t xml:space="preserve"> + IFPOA-X.</w:t>
      </w:r>
      <w:bookmarkEnd w:id="119"/>
      <w:bookmarkStart w:id="134" w:name="X4c44f0a401b6bd564c566ab62434733bda85312"/>
    </w:p>
    <w:p w14:paraId="3B8DBA67">
      <w:pPr>
        <w:pStyle w:val="3"/>
      </w:pPr>
      <w:bookmarkStart w:id="135" w:name="_Toc236076765"/>
      <w:r>
        <w:t>4.5 Evaluasi Kontribusi Strategi Transfer Learning</w:t>
      </w:r>
      <w:bookmarkEnd w:id="135"/>
    </w:p>
    <w:p w14:paraId="4734C7B3">
      <w:pPr>
        <w:ind w:firstLine="720"/>
        <w:rPr>
          <w:rFonts w:cs="Times New Roman"/>
        </w:rPr>
      </w:pPr>
      <w:r>
        <w:rPr>
          <w:rFonts w:cs="Times New Roman"/>
          <w:lang w:val="en-US"/>
        </w:rPr>
        <w:t>Bagian</w:t>
      </w:r>
      <w:r>
        <w:rPr>
          <w:rFonts w:cs="Times New Roman"/>
        </w:rPr>
        <w:t xml:space="preserve"> ini menjawab Rumusan Masalah 2, yaitu menilai kontribusi </w:t>
      </w:r>
      <w:r>
        <w:rPr>
          <w:rFonts w:cs="Times New Roman"/>
          <w:i/>
          <w:iCs/>
        </w:rPr>
        <w:t>transfer learning</w:t>
      </w:r>
      <w:r>
        <w:rPr>
          <w:rFonts w:cs="Times New Roman"/>
        </w:rPr>
        <w:t xml:space="preserve"> pada model </w:t>
      </w:r>
      <w:r>
        <w:rPr>
          <w:rFonts w:cs="Times New Roman"/>
          <w:i/>
          <w:iCs/>
        </w:rPr>
        <w:t xml:space="preserve">ToMarx </w:t>
      </w:r>
      <w:r>
        <w:rPr>
          <w:rFonts w:cs="Times New Roman"/>
        </w:rPr>
        <w:t xml:space="preserve">ketika model sumber yang dilatih pada data </w:t>
      </w:r>
      <w:r>
        <w:rPr>
          <w:rFonts w:cs="Times New Roman"/>
          <w:i/>
          <w:iCs/>
        </w:rPr>
        <w:t xml:space="preserve">combined </w:t>
      </w:r>
      <w:r>
        <w:rPr>
          <w:rFonts w:cs="Times New Roman"/>
        </w:rPr>
        <w:t>Jawa Barat dipindahkan ke tiga wilayah target, yaitu Kupang, Padang, dan Ambon.</w:t>
      </w:r>
    </w:p>
    <w:p w14:paraId="4EDE0667">
      <w:pPr>
        <w:pStyle w:val="4"/>
      </w:pPr>
      <w:bookmarkStart w:id="136" w:name="_Toc236076766"/>
      <w:r>
        <w:rPr>
          <w:bCs/>
        </w:rPr>
        <w:t xml:space="preserve">4.5.1 Evaluasi Protokol </w:t>
      </w:r>
      <w:r>
        <w:rPr>
          <w:bCs/>
          <w:i/>
          <w:iCs/>
        </w:rPr>
        <w:t>Zero-Shot Learning</w:t>
      </w:r>
      <w:bookmarkEnd w:id="136"/>
    </w:p>
    <w:p w14:paraId="36A8783B">
      <w:pPr>
        <w:pStyle w:val="5"/>
        <w:spacing w:before="0"/>
        <w:ind w:firstLine="720"/>
        <w:rPr>
          <w:rFonts w:cs="Times New Roman"/>
        </w:rPr>
      </w:pPr>
      <w:r>
        <w:rPr>
          <w:rFonts w:cs="Times New Roman"/>
        </w:rPr>
        <w:t xml:space="preserve">Hasil </w:t>
      </w:r>
      <w:r>
        <w:rPr>
          <w:rFonts w:cs="Times New Roman"/>
          <w:i/>
          <w:iCs/>
        </w:rPr>
        <w:t>zero-shot</w:t>
      </w:r>
      <w:r>
        <w:rPr>
          <w:rFonts w:cs="Times New Roman"/>
        </w:rPr>
        <w:t xml:space="preserve"> menunjukkan adanya </w:t>
      </w:r>
      <w:r>
        <w:rPr>
          <w:rFonts w:cs="Times New Roman"/>
          <w:i/>
        </w:rPr>
        <w:t>domain shift</w:t>
      </w:r>
      <w:r>
        <w:rPr>
          <w:rFonts w:cs="Times New Roman"/>
        </w:rPr>
        <w:t xml:space="preserve"> yang cukup kuat antara wilayah sumber Jawa Barat dan wilayah target. Pada Kupang, model menghasilkan RMSE 6,7237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-0,5140. Pada Padang, kinerja</w:t>
      </w:r>
      <w:r>
        <w:rPr>
          <w:rFonts w:cs="Times New Roman"/>
          <w:i/>
          <w:iCs/>
        </w:rPr>
        <w:t xml:space="preserve"> zero-shot</w:t>
      </w:r>
      <w:r>
        <w:rPr>
          <w:rFonts w:cs="Times New Roman"/>
        </w:rPr>
        <w:t xml:space="preserve"> berada pada RMSE 5,7404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-0,1674. Ambon juga belum stabil pada kondisi tanpa adaptasi, dengan RMSE 4,9939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-0,3203. Nilai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negatif pada ketiga target menunjukkan bahwa model sumber belum mampu secara langsung menggeneralisasi pola hujan target tanpa adaptasi lokal.</w:t>
      </w:r>
    </w:p>
    <w:p w14:paraId="78194EF7">
      <w:pPr>
        <w:pStyle w:val="4"/>
        <w:rPr>
          <w:i/>
          <w:iCs/>
        </w:rPr>
      </w:pPr>
      <w:bookmarkStart w:id="137" w:name="_Toc236076767"/>
      <w:r>
        <w:rPr>
          <w:bCs/>
        </w:rPr>
        <w:t xml:space="preserve">4.5.2 Evaluasi Protokol </w:t>
      </w:r>
      <w:r>
        <w:rPr>
          <w:bCs/>
          <w:i/>
          <w:iCs/>
        </w:rPr>
        <w:t>Head-Only Fine-Tuning</w:t>
      </w:r>
      <w:bookmarkEnd w:id="137"/>
    </w:p>
    <w:p w14:paraId="7DF74A45">
      <w:pPr>
        <w:pStyle w:val="5"/>
        <w:spacing w:before="0"/>
        <w:ind w:firstLine="720"/>
        <w:rPr>
          <w:rFonts w:cs="Times New Roman"/>
        </w:rPr>
      </w:pPr>
      <w:r>
        <w:rPr>
          <w:rFonts w:cs="Times New Roman"/>
        </w:rPr>
        <w:t>Setelah hanya lapisan prediksi dilatih ulang, kinerja Kupang membaik dari RMSE 6,7237 menjadi 3,8381. Padang juga membaik dari 5,7404 menjadi 5,2190, sedangkan Ambon membaik dari 4,9939 menjadi 4,0172. Pola ini menunjukkan bahwa head-only fine-tuning dapat membantu ketika perbedaan utama berada pada skala keluaran atau pemetaan akhir, tetapi belum cukup ketika distribusi fitur dan dinamika temporal target berbeda lebih dalam dari wilayah sumber.</w:t>
      </w:r>
    </w:p>
    <w:p w14:paraId="12E932AE">
      <w:pPr>
        <w:pStyle w:val="4"/>
      </w:pPr>
      <w:bookmarkStart w:id="138" w:name="_Toc236076768"/>
      <w:r>
        <w:rPr>
          <w:bCs/>
        </w:rPr>
        <w:t xml:space="preserve">4.5.3 Evaluasi Protokol </w:t>
      </w:r>
      <w:r>
        <w:rPr>
          <w:bCs/>
          <w:i/>
          <w:iCs/>
        </w:rPr>
        <w:t>Staged Unfreezing</w:t>
      </w:r>
      <w:bookmarkEnd w:id="138"/>
    </w:p>
    <w:p w14:paraId="1749E932">
      <w:pPr>
        <w:pStyle w:val="5"/>
        <w:spacing w:before="0"/>
        <w:ind w:firstLine="720"/>
        <w:rPr>
          <w:rFonts w:cs="Times New Roman"/>
        </w:rPr>
      </w:pPr>
      <w:r>
        <w:rPr>
          <w:rFonts w:cs="Times New Roman"/>
        </w:rPr>
        <w:t xml:space="preserve">Protokol </w:t>
      </w:r>
      <w:r>
        <w:rPr>
          <w:rFonts w:cs="Times New Roman"/>
          <w:i/>
          <w:iCs/>
        </w:rPr>
        <w:t xml:space="preserve">staged unfreeze </w:t>
      </w:r>
      <w:r>
        <w:rPr>
          <w:rFonts w:cs="Times New Roman"/>
        </w:rPr>
        <w:t>memberikan hasil terbaik pada seluruh target. Pada Kupang, RMSE turun dari 6,7237 menjadi 3,3730, atau membaik 49,83% dibanding zero-shot. Pada Padang, RMSE turun dari 5,7404 menjadi 5,2164, atau membaik 9,13%. Pada Ambon, RMSE turun dari 4,9939 menjadi 3,7572, atau membaik 24,76%.</w:t>
      </w:r>
    </w:p>
    <w:p w14:paraId="0983EE8C">
      <w:pPr>
        <w:pStyle w:val="68"/>
        <w:rPr>
          <w:rFonts w:cs="Times New Roman"/>
          <w:color w:val="C00000"/>
        </w:rPr>
      </w:pPr>
      <w:r>
        <w:rPr>
          <w:rFonts w:cs="Times New Roman"/>
          <w:color w:val="C00000"/>
        </w:rPr>
        <w:drawing>
          <wp:inline distT="0" distB="0" distL="114300" distR="114300">
            <wp:extent cx="4961255" cy="2689860"/>
            <wp:effectExtent l="0" t="0" r="0" b="0"/>
            <wp:docPr id="1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961255" cy="2690402"/>
                    </a:xfrm>
                    <a:prstGeom prst="rect">
                      <a:avLst/>
                    </a:prstGeom>
                    <a:noFill/>
                    <a:ln w="9525">
                      <a:noFill/>
                    </a:ln>
                  </pic:spPr>
                </pic:pic>
              </a:graphicData>
            </a:graphic>
          </wp:inline>
        </w:drawing>
      </w:r>
    </w:p>
    <w:p w14:paraId="256319FF">
      <w:pPr>
        <w:pStyle w:val="11"/>
        <w:keepNext/>
        <w:jc w:val="center"/>
        <w:rPr>
          <w:b/>
          <w:i w:val="0"/>
          <w:color w:val="auto"/>
          <w:sz w:val="24"/>
          <w:lang w:val="en-US"/>
        </w:rPr>
      </w:pPr>
      <w:bookmarkStart w:id="139" w:name="_Toc236077436"/>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25</w:t>
      </w:r>
      <w:r>
        <w:rPr>
          <w:b/>
          <w:i w:val="0"/>
          <w:color w:val="auto"/>
          <w:sz w:val="24"/>
        </w:rPr>
        <w:fldChar w:fldCharType="end"/>
      </w:r>
      <w:r>
        <w:rPr>
          <w:b/>
          <w:i w:val="0"/>
          <w:color w:val="auto"/>
          <w:sz w:val="24"/>
          <w:lang w:val="en-US"/>
        </w:rPr>
        <w:t xml:space="preserve"> Perubahan RMSE </w:t>
      </w:r>
      <w:r>
        <w:rPr>
          <w:b/>
          <w:iCs w:val="0"/>
          <w:color w:val="auto"/>
          <w:sz w:val="24"/>
          <w:lang w:val="en-US"/>
        </w:rPr>
        <w:t xml:space="preserve">ToMarx </w:t>
      </w:r>
      <w:r>
        <w:rPr>
          <w:b/>
          <w:i w:val="0"/>
          <w:color w:val="auto"/>
          <w:sz w:val="24"/>
          <w:lang w:val="en-US"/>
        </w:rPr>
        <w:t xml:space="preserve">pada 3 strategi </w:t>
      </w:r>
      <w:r>
        <w:rPr>
          <w:b/>
          <w:iCs w:val="0"/>
          <w:color w:val="auto"/>
          <w:sz w:val="24"/>
          <w:lang w:val="en-US"/>
        </w:rPr>
        <w:t>transfer learning</w:t>
      </w:r>
      <w:bookmarkEnd w:id="139"/>
    </w:p>
    <w:p w14:paraId="65E91AC2">
      <w:pPr>
        <w:pStyle w:val="5"/>
        <w:ind w:firstLine="720"/>
        <w:rPr>
          <w:rFonts w:cs="Times New Roman"/>
          <w:lang w:val="en-US"/>
        </w:rPr>
      </w:pPr>
      <w:r>
        <w:rPr>
          <w:rFonts w:cs="Times New Roman"/>
          <w:lang w:val="en-US"/>
        </w:rPr>
        <w:t xml:space="preserve">Gambar 4. 25 menyajikan perubahan RMSE </w:t>
      </w:r>
      <w:r>
        <w:rPr>
          <w:rFonts w:cs="Times New Roman"/>
          <w:i/>
          <w:iCs/>
          <w:lang w:val="en-US"/>
        </w:rPr>
        <w:t xml:space="preserve">ToMarx </w:t>
      </w:r>
      <w:r>
        <w:rPr>
          <w:rFonts w:cs="Times New Roman"/>
          <w:lang w:val="en-US"/>
        </w:rPr>
        <w:t xml:space="preserve">pada 3 strategi </w:t>
      </w:r>
      <w:r>
        <w:rPr>
          <w:rFonts w:cs="Times New Roman"/>
          <w:i/>
          <w:iCs/>
          <w:lang w:val="en-US"/>
        </w:rPr>
        <w:t xml:space="preserve">transfer learning. </w:t>
      </w:r>
      <w:r>
        <w:rPr>
          <w:rFonts w:cs="Times New Roman"/>
        </w:rPr>
        <w:t>Sumbu-X menunjukkan wilayah target, sumbu-Y menunjukkan RMSE pada skala target, dan warna batang menunjukkan strategi adaptasi.</w:t>
      </w:r>
    </w:p>
    <w:p w14:paraId="3AB47D7D">
      <w:pPr>
        <w:pStyle w:val="4"/>
      </w:pPr>
      <w:bookmarkStart w:id="140" w:name="_Toc236076769"/>
      <w:r>
        <w:t>4.5.4 Analisis Efisiensi Adaptasi dan Konvergensi</w:t>
      </w:r>
      <w:bookmarkEnd w:id="140"/>
    </w:p>
    <w:p w14:paraId="393EE54C">
      <w:pPr>
        <w:pStyle w:val="5"/>
        <w:spacing w:before="0"/>
        <w:ind w:firstLine="720"/>
        <w:rPr>
          <w:rFonts w:cs="Times New Roman"/>
        </w:rPr>
      </w:pPr>
      <w:r>
        <w:rPr>
          <w:rFonts w:cs="Times New Roman"/>
        </w:rPr>
        <w:t xml:space="preserve">Kupang meningkat dari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-0,5140 menjadi 0,6190, Padang meningkat dari -0,1674 menjadi 0,0361, dan Ambon meningkat dari -0,3203 menjadi 0,2527. Dari sisi efisiensi, protokol transfer terbaik diperoleh dengan adaptasi singkat 30 epoch per tahap, sedangkan pelatihan final model sumber dilakukan hingga 100 epoch. Artinya</w:t>
      </w:r>
      <w:r>
        <w:rPr>
          <w:rFonts w:cs="Times New Roman"/>
          <w:i/>
        </w:rPr>
        <w:t>, transfer learning</w:t>
      </w:r>
      <w:r>
        <w:rPr>
          <w:rFonts w:cs="Times New Roman"/>
        </w:rPr>
        <w:t xml:space="preserve"> dapat memanfaatkan bobot sumber sebagai titik awal dan mengurangi kebutuhan pelatihan penuh dari awal pada setiap target.</w:t>
      </w:r>
    </w:p>
    <w:p w14:paraId="3CEF79FD">
      <w:pPr>
        <w:pStyle w:val="68"/>
        <w:rPr>
          <w:rFonts w:cs="Times New Roman"/>
          <w:color w:val="C00000"/>
        </w:rPr>
      </w:pPr>
      <w:r>
        <w:rPr>
          <w:rFonts w:cs="Times New Roman"/>
          <w:color w:val="C00000"/>
        </w:rPr>
        <w:drawing>
          <wp:inline distT="0" distB="0" distL="114300" distR="114300">
            <wp:extent cx="5031740" cy="2179320"/>
            <wp:effectExtent l="0" t="0" r="0" b="0"/>
            <wp:docPr id="114" name="Picture" descr="Gain R2 CVaR 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descr="Gain R2 CVaR Transfer"/>
                    <pic:cNvPicPr>
                      <a:picLocks noChangeAspect="1" noChangeArrowheads="1"/>
                    </pic:cNvPicPr>
                  </pic:nvPicPr>
                  <pic:blipFill>
                    <a:blip r:embed="rId66"/>
                    <a:stretch>
                      <a:fillRect/>
                    </a:stretch>
                  </pic:blipFill>
                  <pic:spPr>
                    <a:xfrm>
                      <a:off x="0" y="0"/>
                      <a:ext cx="5037653" cy="2181800"/>
                    </a:xfrm>
                    <a:prstGeom prst="rect">
                      <a:avLst/>
                    </a:prstGeom>
                    <a:noFill/>
                    <a:ln w="9525">
                      <a:noFill/>
                    </a:ln>
                  </pic:spPr>
                </pic:pic>
              </a:graphicData>
            </a:graphic>
          </wp:inline>
        </w:drawing>
      </w:r>
    </w:p>
    <w:p w14:paraId="4A27AF88">
      <w:pPr>
        <w:pStyle w:val="11"/>
        <w:keepNext/>
        <w:jc w:val="center"/>
        <w:rPr>
          <w:rFonts w:cs="Times New Roman"/>
          <w:color w:val="C00000"/>
        </w:rPr>
      </w:pPr>
      <w:bookmarkStart w:id="141" w:name="_Toc236077437"/>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26</w:t>
      </w:r>
      <w:r>
        <w:rPr>
          <w:b/>
          <w:i w:val="0"/>
          <w:color w:val="auto"/>
          <w:sz w:val="24"/>
        </w:rPr>
        <w:fldChar w:fldCharType="end"/>
      </w:r>
      <w:r>
        <w:rPr>
          <w:b/>
          <w:i w:val="0"/>
          <w:color w:val="auto"/>
          <w:sz w:val="24"/>
          <w:lang w:val="en-US"/>
        </w:rPr>
        <w:t xml:space="preserve"> Dampak staged unfreeze terhadap perbaikan relatif dan risiko kesalahan ekstrem</w:t>
      </w:r>
      <w:bookmarkEnd w:id="141"/>
    </w:p>
    <w:bookmarkEnd w:id="134"/>
    <w:p w14:paraId="6F85DF54">
      <w:pPr>
        <w:ind w:firstLine="720"/>
        <w:rPr>
          <w:lang w:val="en-US"/>
        </w:rPr>
      </w:pPr>
      <w:bookmarkStart w:id="142" w:name="X6bd7c5f3227106b3f59aa1537e274b3f6666abb"/>
      <w:r>
        <w:t>Hasil pada Gambar 4.</w:t>
      </w:r>
      <w:r>
        <w:rPr>
          <w:lang w:val="en-US"/>
        </w:rPr>
        <w:t xml:space="preserve"> 26</w:t>
      </w:r>
      <w:r>
        <w:t xml:space="preserve"> memperlihatkan bahwa </w:t>
      </w:r>
      <w:r>
        <w:rPr>
          <w:i/>
          <w:iCs/>
        </w:rPr>
        <w:t>staged unfreeze</w:t>
      </w:r>
      <w:r>
        <w:t xml:space="preserve"> tidak hanya menurunkan RMSE, tetapi juga memperbaiki </w:t>
      </w:r>
      <m:oMath>
        <m:sSup>
          <m:sSupPr>
            <m:ctrlPr>
              <w:rPr>
                <w:rFonts w:ascii="Cambria Math" w:hAnsi="Cambria Math"/>
                <w:i/>
              </w:rPr>
            </m:ctrlPr>
          </m:sSupPr>
          <m:e>
            <m:r>
              <m:rPr>
                <m:nor/>
              </m:rPr>
              <w:rPr>
                <w:i/>
              </w:rPr>
              <m:t>R</m:t>
            </m:r>
            <m:ctrlPr>
              <w:rPr>
                <w:rFonts w:ascii="Cambria Math" w:hAnsi="Cambria Math"/>
                <w:i/>
              </w:rPr>
            </m:ctrlPr>
          </m:e>
          <m:sup>
            <m:r>
              <m:rPr>
                <m:nor/>
              </m:rPr>
              <w:rPr>
                <w:i/>
              </w:rPr>
              <m:t>2</m:t>
            </m:r>
            <m:ctrlPr>
              <w:rPr>
                <w:rFonts w:ascii="Cambria Math" w:hAnsi="Cambria Math"/>
                <w:i/>
              </w:rPr>
            </m:ctrlPr>
          </m:sup>
        </m:sSup>
      </m:oMath>
      <w:r>
        <w:t xml:space="preserve"> pada seluruh target.</w:t>
      </w:r>
      <w:r>
        <w:rPr>
          <w:lang w:val="en-US"/>
        </w:rPr>
        <w:t xml:space="preserve"> </w:t>
      </w:r>
      <w:r>
        <w:rPr>
          <w:rFonts w:cs="Times New Roman"/>
        </w:rPr>
        <w:t xml:space="preserve">Panel ini menampilkan besarnya perbaikan relatif dibanding </w:t>
      </w:r>
      <w:r>
        <w:rPr>
          <w:rFonts w:cs="Times New Roman"/>
          <w:i/>
        </w:rPr>
        <w:t>zero-shot</w:t>
      </w:r>
      <w:r>
        <w:rPr>
          <w:rFonts w:cs="Times New Roman"/>
        </w:rPr>
        <w:t xml:space="preserve"> dan perubahan risiko kesalahan besar pada masing-masing target.</w:t>
      </w:r>
    </w:p>
    <w:p w14:paraId="7DD57B12">
      <w:pPr>
        <w:pStyle w:val="3"/>
      </w:pPr>
      <w:bookmarkStart w:id="143" w:name="_Toc236076770"/>
      <w:r>
        <w:t>4.6 Analisis Ketahanan dan Kinerja ToMarx</w:t>
      </w:r>
      <w:bookmarkEnd w:id="143"/>
    </w:p>
    <w:p w14:paraId="01DF4E90">
      <w:pPr>
        <w:pStyle w:val="65"/>
        <w:spacing w:before="0"/>
        <w:ind w:firstLine="720"/>
        <w:rPr>
          <w:rFonts w:cs="Times New Roman"/>
        </w:rPr>
      </w:pPr>
      <w:r>
        <w:rPr>
          <w:rFonts w:cs="Times New Roman"/>
          <w:lang w:val="en-US"/>
        </w:rPr>
        <w:t>Bagian</w:t>
      </w:r>
      <w:r>
        <w:rPr>
          <w:rFonts w:cs="Times New Roman"/>
        </w:rPr>
        <w:t xml:space="preserve"> ini menjawab Rumusan Masalah 3 dengan meninjau kinerja akhir ToMarx setelah protokol transfer terbaik, yaitu </w:t>
      </w:r>
      <w:r>
        <w:rPr>
          <w:rFonts w:cs="Times New Roman"/>
          <w:i/>
          <w:iCs/>
        </w:rPr>
        <w:t>staged unfreeze</w:t>
      </w:r>
      <w:r>
        <w:rPr>
          <w:rFonts w:cs="Times New Roman"/>
        </w:rPr>
        <w:t xml:space="preserve">, pada tiga pola hujan target. </w:t>
      </w:r>
    </w:p>
    <w:p w14:paraId="6ED5A8E0">
      <w:pPr>
        <w:pStyle w:val="4"/>
      </w:pPr>
      <w:bookmarkStart w:id="144" w:name="_Toc236076771"/>
      <w:r>
        <w:t>4.6.1 Performa pada Pola Hujan Monsunal: Kupang</w:t>
      </w:r>
      <w:bookmarkEnd w:id="144"/>
    </w:p>
    <w:p w14:paraId="15BC8CEB">
      <w:pPr>
        <w:pStyle w:val="5"/>
        <w:spacing w:before="0"/>
        <w:ind w:firstLine="720"/>
        <w:rPr>
          <w:rFonts w:cs="Times New Roman"/>
        </w:rPr>
      </w:pPr>
      <w:r>
        <w:rPr>
          <w:rFonts w:cs="Times New Roman"/>
        </w:rPr>
        <w:t>Kupang menunjukkan perbaikan paling besar setelah</w:t>
      </w:r>
      <w:r>
        <w:rPr>
          <w:rFonts w:cs="Times New Roman"/>
          <w:i/>
          <w:iCs/>
        </w:rPr>
        <w:t xml:space="preserve"> transfer learning</w:t>
      </w:r>
      <w:r>
        <w:rPr>
          <w:rFonts w:cs="Times New Roman"/>
        </w:rPr>
        <w:t>. RMSE akhir setelah</w:t>
      </w:r>
      <w:r>
        <w:rPr>
          <w:rFonts w:cs="Times New Roman"/>
          <w:i/>
          <w:iCs/>
        </w:rPr>
        <w:t xml:space="preserve"> staged unfreeze</w:t>
      </w:r>
      <w:r>
        <w:rPr>
          <w:rFonts w:cs="Times New Roman"/>
        </w:rPr>
        <w:t xml:space="preserve"> pada skala target </w:t>
      </w:r>
      <w:r>
        <w:rPr>
          <w:rFonts w:cs="Times New Roman"/>
          <w:i/>
          <w:iCs/>
        </w:rPr>
        <w:t xml:space="preserve">transform </w:t>
      </w:r>
      <w:r>
        <w:rPr>
          <w:rFonts w:cs="Times New Roman"/>
        </w:rPr>
        <w:t xml:space="preserve">adalah 3,3730, MAE 2,6301,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0,6190. Jika dikembalikan ke skala curah hujan asli, RMSE setara dengan 69,30 mm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0,4844. Dibanding kondisi </w:t>
      </w:r>
      <w:r>
        <w:rPr>
          <w:rFonts w:cs="Times New Roman"/>
          <w:i/>
          <w:iCs/>
        </w:rPr>
        <w:t>zero-shot</w:t>
      </w:r>
      <w:r>
        <w:rPr>
          <w:rFonts w:cs="Times New Roman"/>
        </w:rPr>
        <w:t xml:space="preserve">, RMSE </w:t>
      </w:r>
      <w:r>
        <w:rPr>
          <w:rFonts w:cs="Times New Roman"/>
          <w:i/>
          <w:iCs/>
        </w:rPr>
        <w:t xml:space="preserve">transform </w:t>
      </w:r>
      <w:r>
        <w:rPr>
          <w:rFonts w:cs="Times New Roman"/>
        </w:rPr>
        <w:t xml:space="preserve">berkurang 49,83%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berubah dari negatif menjadi positif. Hasil ini menunjukkan bahwa model sumber dari Jawa Barat masih memiliki informasi temporal yang relevan untuk wilayah monsunal, tetapi membutuhkan adaptasi </w:t>
      </w:r>
      <w:r>
        <w:rPr>
          <w:rFonts w:cs="Times New Roman"/>
          <w:i/>
          <w:iCs/>
        </w:rPr>
        <w:t xml:space="preserve">encoder </w:t>
      </w:r>
      <w:r>
        <w:rPr>
          <w:rFonts w:cs="Times New Roman"/>
        </w:rPr>
        <w:t>agar mampu mengikuti intensitas musim kering dan basah yang lebih tegas di Kupang.</w:t>
      </w:r>
    </w:p>
    <w:p w14:paraId="7D76E15E">
      <w:pPr>
        <w:pStyle w:val="4"/>
      </w:pPr>
      <w:bookmarkStart w:id="145" w:name="_Toc236076772"/>
      <w:r>
        <w:t>4.6.2 Performa pada Pola Hujan Ekuatorial: Padang</w:t>
      </w:r>
      <w:bookmarkEnd w:id="145"/>
    </w:p>
    <w:p w14:paraId="54B0D6B9">
      <w:pPr>
        <w:pStyle w:val="5"/>
        <w:spacing w:before="0"/>
        <w:ind w:firstLine="720"/>
        <w:rPr>
          <w:rFonts w:cs="Times New Roman"/>
        </w:rPr>
      </w:pPr>
      <w:r>
        <w:rPr>
          <w:rFonts w:cs="Times New Roman"/>
        </w:rPr>
        <w:t xml:space="preserve">Padang menjadi target paling sulit. Setelah </w:t>
      </w:r>
      <w:r>
        <w:rPr>
          <w:rFonts w:cs="Times New Roman"/>
          <w:i/>
          <w:iCs/>
        </w:rPr>
        <w:t>staged unfreeze,</w:t>
      </w:r>
      <w:r>
        <w:rPr>
          <w:rFonts w:cs="Times New Roman"/>
        </w:rPr>
        <w:t xml:space="preserve"> RMSE </w:t>
      </w:r>
      <w:r>
        <w:rPr>
          <w:rFonts w:cs="Times New Roman"/>
          <w:i/>
          <w:iCs/>
        </w:rPr>
        <w:t xml:space="preserve">transform </w:t>
      </w:r>
      <w:r>
        <w:rPr>
          <w:rFonts w:cs="Times New Roman"/>
        </w:rPr>
        <w:t xml:space="preserve">masih sebesar 5,2164, MAE 4,0498,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hanya 0,0361. Pada skala curah hujan asli, RMSE mencapai 168,36 mm dengan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0,0481. Walaupun RMSE membaik 9,13% dari </w:t>
      </w:r>
      <w:r>
        <w:rPr>
          <w:rFonts w:cs="Times New Roman"/>
          <w:i/>
        </w:rPr>
        <w:t>zero-shot,</w:t>
      </w:r>
      <w:r>
        <w:rPr>
          <w:rFonts w:cs="Times New Roman"/>
        </w:rPr>
        <w:t xml:space="preserve"> nilai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yang rendah menunjukkan bahwa model hasil adaptasi mampu mengurangi kesalahan rata-rata, tetapi belum cukup kuat menjelaskan variasi curah hujan ekuatorial. Hal ini sejalan dengan karakter Padang yang sangat basah dan memiliki pola hujan bimodal, sehingga distribusinya paling jauh dari wilayah sumber.</w:t>
      </w:r>
    </w:p>
    <w:p w14:paraId="1F2A4F8D">
      <w:pPr>
        <w:pStyle w:val="4"/>
      </w:pPr>
      <w:bookmarkStart w:id="146" w:name="_Toc236076773"/>
      <w:r>
        <w:t>4.6.3 Performa pada Pola Hujan Lokal: Ambon</w:t>
      </w:r>
      <w:bookmarkEnd w:id="146"/>
    </w:p>
    <w:p w14:paraId="353A8D9E">
      <w:pPr>
        <w:pStyle w:val="5"/>
        <w:spacing w:before="0"/>
        <w:ind w:firstLine="720"/>
        <w:rPr>
          <w:rFonts w:cs="Times New Roman"/>
          <w:color w:val="C00000"/>
        </w:rPr>
      </w:pPr>
      <w:r>
        <w:rPr>
          <w:rFonts w:cs="Times New Roman"/>
        </w:rPr>
        <w:t xml:space="preserve">Ambon membaik cukup jelas setelah </w:t>
      </w:r>
      <w:r>
        <w:rPr>
          <w:rFonts w:cs="Times New Roman"/>
          <w:i/>
          <w:iCs/>
        </w:rPr>
        <w:t>transfer</w:t>
      </w:r>
      <w:r>
        <w:rPr>
          <w:rFonts w:cs="Times New Roman"/>
        </w:rPr>
        <w:t xml:space="preserve">. Setelah </w:t>
      </w:r>
      <w:r>
        <w:rPr>
          <w:rFonts w:cs="Times New Roman"/>
          <w:i/>
          <w:iCs/>
        </w:rPr>
        <w:t>staged unfreeze</w:t>
      </w:r>
      <w:r>
        <w:rPr>
          <w:rFonts w:cs="Times New Roman"/>
        </w:rPr>
        <w:t xml:space="preserve">, RMSE transform menjadi 3,7572, MAE 2,9263,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0,2527. Pada skala curah hujan asli, RMSE setara dengan 92,91 mm dan </w:t>
      </w:r>
      <m:oMath>
        <m:sSup>
          <m:sSupPr>
            <m:ctrlPr>
              <w:rPr>
                <w:rFonts w:ascii="Cambria Math" w:hAnsi="Cambria Math" w:cs="Times New Roman"/>
              </w:rPr>
            </m:ctrlPr>
          </m:sSupPr>
          <m:e>
            <m:r>
              <m:rPr>
                <m:nor/>
              </m:rPr>
              <w:rPr>
                <w:rFonts w:cs="Times New Roman"/>
                <w:i/>
              </w:rPr>
              <m:t>R</m:t>
            </m:r>
            <m:ctrlPr>
              <w:rPr>
                <w:rFonts w:ascii="Cambria Math" w:hAnsi="Cambria Math" w:cs="Times New Roman"/>
              </w:rPr>
            </m:ctrlPr>
          </m:e>
          <m:sup>
            <m:r>
              <m:rPr>
                <m:nor/>
                <m:sty m:val="p"/>
              </m:rPr>
              <w:rPr>
                <w:rFonts w:cs="Times New Roman"/>
              </w:rPr>
              <m:t>2</m:t>
            </m:r>
            <m:ctrlPr>
              <w:rPr>
                <w:rFonts w:ascii="Cambria Math" w:hAnsi="Cambria Math" w:cs="Times New Roman"/>
              </w:rPr>
            </m:ctrlPr>
          </m:sup>
        </m:sSup>
      </m:oMath>
      <w:r>
        <w:rPr>
          <w:rFonts w:cs="Times New Roman"/>
        </w:rPr>
        <w:t xml:space="preserve"> 0,2031. Penurunan RMSE transform mencapai 24,76% dibanding </w:t>
      </w:r>
      <w:r>
        <w:rPr>
          <w:rFonts w:cs="Times New Roman"/>
          <w:i/>
          <w:iCs/>
        </w:rPr>
        <w:t>zero-shot</w:t>
      </w:r>
      <w:r>
        <w:rPr>
          <w:rFonts w:cs="Times New Roman"/>
        </w:rPr>
        <w:t>. Artinya, adaptasi pada Ambon memberi koreksi bermakna meskipun pola lokal Ambon berbeda dari pola monsunal umum.</w:t>
      </w:r>
    </w:p>
    <w:p w14:paraId="2257C57C">
      <w:pPr>
        <w:pStyle w:val="4"/>
      </w:pPr>
      <w:bookmarkStart w:id="147" w:name="_Toc236076774"/>
      <w:r>
        <w:t>4.6.4 Analisis Ketangguhan Model Berdasarkan CVaR95</w:t>
      </w:r>
      <w:bookmarkEnd w:id="147"/>
    </w:p>
    <w:p w14:paraId="1C3FECC8">
      <w:pPr>
        <w:pStyle w:val="5"/>
        <w:spacing w:before="0"/>
        <w:ind w:firstLine="720"/>
        <w:rPr>
          <w:rFonts w:cs="Times New Roman"/>
        </w:rPr>
      </w:pPr>
      <w:r>
        <w:rPr>
          <w:rFonts w:cs="Times New Roman"/>
        </w:rPr>
        <w:t xml:space="preserve">Ketangguhan model dievaluasi menggunakan CVaR95, yaitu rata-rata kesalahan pada 5% kasus dengan </w:t>
      </w:r>
      <w:r>
        <w:rPr>
          <w:rFonts w:cs="Times New Roman"/>
          <w:i/>
          <w:iCs/>
        </w:rPr>
        <w:t xml:space="preserve">error </w:t>
      </w:r>
      <w:r>
        <w:rPr>
          <w:rFonts w:cs="Times New Roman"/>
        </w:rPr>
        <w:t xml:space="preserve">terbesar. Setelah </w:t>
      </w:r>
      <w:r>
        <w:rPr>
          <w:rFonts w:cs="Times New Roman"/>
          <w:i/>
          <w:iCs/>
        </w:rPr>
        <w:t>staged unfreeze</w:t>
      </w:r>
      <w:r>
        <w:rPr>
          <w:rFonts w:cs="Times New Roman"/>
        </w:rPr>
        <w:t xml:space="preserve">, CVaR95 transform Kupang turun dari 12,0135 menjadi 7,6842, Padang turun dari 13,9080 menjadi 12,7238, dan Ambon turun dari 10,3566 menjadi 8,9989. Pada skala curah hujan asli, CVaR95 akhir masing-masing adalah 204,52 mm untuk Kupang, 499,03 mm untuk Padang, dan 290,36 mm untuk Ambon. Penurunan CVaR95 pada seluruh target menunjukkan bahwa </w:t>
      </w:r>
      <w:r>
        <w:rPr>
          <w:rFonts w:cs="Times New Roman"/>
          <w:i/>
          <w:iCs/>
        </w:rPr>
        <w:t>transfer learning</w:t>
      </w:r>
      <w:r>
        <w:rPr>
          <w:rFonts w:cs="Times New Roman"/>
        </w:rPr>
        <w:t xml:space="preserve"> tidak hanya memperbaiki </w:t>
      </w:r>
      <w:r>
        <w:rPr>
          <w:rFonts w:cs="Times New Roman"/>
          <w:i/>
          <w:iCs/>
        </w:rPr>
        <w:t xml:space="preserve">error </w:t>
      </w:r>
      <w:r>
        <w:rPr>
          <w:rFonts w:cs="Times New Roman"/>
        </w:rPr>
        <w:t>rata-rata, tetapi juga mengurangi risiko kesalahan besar pada kondisi sulit.</w:t>
      </w:r>
    </w:p>
    <w:p w14:paraId="5B6B7A1D">
      <w:pPr>
        <w:pStyle w:val="5"/>
        <w:ind w:firstLine="720"/>
        <w:rPr>
          <w:rFonts w:cs="Times New Roman"/>
          <w:lang w:val="en-US"/>
        </w:rPr>
      </w:pPr>
      <w:r>
        <w:rPr>
          <w:rFonts w:cs="Times New Roman"/>
        </w:rPr>
        <w:t xml:space="preserve">Namun, hasil transfer menunjukkan bahwa model masih belum sepenuhnya mampu menangani kejadian ekstrem dengan baik. Oleh karena itu, klaim utama pada tahap </w:t>
      </w:r>
      <w:r>
        <w:rPr>
          <w:rFonts w:cs="Times New Roman"/>
          <w:i/>
          <w:iCs/>
        </w:rPr>
        <w:t>transfer learning</w:t>
      </w:r>
      <w:r>
        <w:rPr>
          <w:rFonts w:cs="Times New Roman"/>
        </w:rPr>
        <w:t xml:space="preserve"> difokuskan pada peningkatan akurasi dan pengurangan risiko </w:t>
      </w:r>
      <w:r>
        <w:rPr>
          <w:rFonts w:cs="Times New Roman"/>
          <w:i/>
          <w:iCs/>
        </w:rPr>
        <w:t xml:space="preserve">error </w:t>
      </w:r>
      <w:r>
        <w:rPr>
          <w:rFonts w:cs="Times New Roman"/>
        </w:rPr>
        <w:t>besar, bukan pada keberhasilan deteksi kejadian ekstrem.</w:t>
      </w:r>
      <w:r>
        <w:rPr>
          <w:rFonts w:cs="Times New Roman"/>
          <w:lang w:val="en-US"/>
        </w:rPr>
        <w:t xml:space="preserve"> Berikut perfoma akhir </w:t>
      </w:r>
      <w:r>
        <w:rPr>
          <w:rFonts w:cs="Times New Roman"/>
          <w:i/>
          <w:iCs/>
          <w:lang w:val="en-US"/>
        </w:rPr>
        <w:t xml:space="preserve">Tomarx </w:t>
      </w:r>
      <w:r>
        <w:rPr>
          <w:rFonts w:cs="Times New Roman"/>
          <w:lang w:val="en-US"/>
        </w:rPr>
        <w:t>pada Tabel 4. 13 dan divisualisasikan pada Gambar 4. 27.</w:t>
      </w:r>
    </w:p>
    <w:p w14:paraId="453892FC">
      <w:pPr>
        <w:pStyle w:val="11"/>
        <w:keepNext/>
        <w:jc w:val="center"/>
        <w:rPr>
          <w:b/>
          <w:i w:val="0"/>
          <w:color w:val="auto"/>
          <w:sz w:val="24"/>
          <w:lang w:val="en-US"/>
        </w:rPr>
      </w:pPr>
      <w:bookmarkStart w:id="148" w:name="_Toc236786436"/>
      <w:r>
        <w:rPr>
          <w:b/>
          <w:i w:val="0"/>
          <w:color w:val="auto"/>
          <w:sz w:val="24"/>
        </w:rPr>
        <w:t xml:space="preserve">Tabel 4. </w:t>
      </w:r>
      <w:r>
        <w:rPr>
          <w:b/>
          <w:i w:val="0"/>
          <w:color w:val="auto"/>
          <w:sz w:val="24"/>
        </w:rPr>
        <w:fldChar w:fldCharType="begin"/>
      </w:r>
      <w:r>
        <w:rPr>
          <w:b/>
          <w:i w:val="0"/>
          <w:color w:val="auto"/>
          <w:sz w:val="24"/>
        </w:rPr>
        <w:instrText xml:space="preserve"> SEQ Tabel_4. \* ARABIC </w:instrText>
      </w:r>
      <w:r>
        <w:rPr>
          <w:b/>
          <w:i w:val="0"/>
          <w:color w:val="auto"/>
          <w:sz w:val="24"/>
        </w:rPr>
        <w:fldChar w:fldCharType="separate"/>
      </w:r>
      <w:r>
        <w:rPr>
          <w:b/>
          <w:i w:val="0"/>
          <w:color w:val="auto"/>
          <w:sz w:val="24"/>
        </w:rPr>
        <w:t>13</w:t>
      </w:r>
      <w:r>
        <w:rPr>
          <w:b/>
          <w:i w:val="0"/>
          <w:color w:val="auto"/>
          <w:sz w:val="24"/>
        </w:rPr>
        <w:fldChar w:fldCharType="end"/>
      </w:r>
      <w:r>
        <w:rPr>
          <w:b/>
          <w:i w:val="0"/>
          <w:color w:val="auto"/>
          <w:sz w:val="24"/>
          <w:lang w:val="en-US"/>
        </w:rPr>
        <w:t xml:space="preserve"> Performa Akhir </w:t>
      </w:r>
      <w:r>
        <w:rPr>
          <w:b/>
          <w:iCs w:val="0"/>
          <w:color w:val="auto"/>
          <w:sz w:val="24"/>
          <w:lang w:val="en-US"/>
        </w:rPr>
        <w:t xml:space="preserve">ToMarx </w:t>
      </w:r>
      <w:r>
        <w:rPr>
          <w:b/>
          <w:i w:val="0"/>
          <w:color w:val="auto"/>
          <w:sz w:val="24"/>
          <w:lang w:val="en-US"/>
        </w:rPr>
        <w:t xml:space="preserve">Setelah </w:t>
      </w:r>
      <w:r>
        <w:rPr>
          <w:b/>
          <w:iCs w:val="0"/>
          <w:color w:val="auto"/>
          <w:sz w:val="24"/>
          <w:lang w:val="en-US"/>
        </w:rPr>
        <w:t>Staged Unfreeze</w:t>
      </w:r>
      <w:bookmarkEnd w:id="148"/>
    </w:p>
    <w:tbl>
      <w:tblPr>
        <w:tblStyle w:val="67"/>
        <w:tblW w:w="5001" w:type="pct"/>
        <w:tblInd w:w="0" w:type="dxa"/>
        <w:tblLayout w:type="fixed"/>
        <w:tblCellMar>
          <w:top w:w="0" w:type="dxa"/>
          <w:left w:w="108" w:type="dxa"/>
          <w:bottom w:w="0" w:type="dxa"/>
          <w:right w:w="108" w:type="dxa"/>
        </w:tblCellMar>
      </w:tblPr>
      <w:tblGrid>
        <w:gridCol w:w="1225"/>
        <w:gridCol w:w="1260"/>
        <w:gridCol w:w="898"/>
        <w:gridCol w:w="1004"/>
        <w:gridCol w:w="1254"/>
        <w:gridCol w:w="1254"/>
        <w:gridCol w:w="1254"/>
      </w:tblGrid>
      <w:tr w14:paraId="61086F85">
        <w:tblPrEx>
          <w:tblCellMar>
            <w:top w:w="0" w:type="dxa"/>
            <w:left w:w="108" w:type="dxa"/>
            <w:bottom w:w="0" w:type="dxa"/>
            <w:right w:w="108" w:type="dxa"/>
          </w:tblCellMar>
        </w:tblPrEx>
        <w:trPr>
          <w:tblHeader/>
        </w:trPr>
        <w:tc>
          <w:tcPr>
            <w:tcW w:w="751"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66BAF55">
            <w:pPr>
              <w:pStyle w:val="66"/>
              <w:jc w:val="center"/>
              <w:rPr>
                <w:rFonts w:cs="Times New Roman"/>
                <w:b/>
                <w:bCs/>
                <w:color w:val="000000"/>
                <w:sz w:val="22"/>
                <w:szCs w:val="21"/>
              </w:rPr>
            </w:pPr>
            <w:r>
              <w:rPr>
                <w:rFonts w:cs="Times New Roman"/>
                <w:b/>
                <w:bCs/>
                <w:color w:val="000000"/>
                <w:sz w:val="22"/>
                <w:szCs w:val="21"/>
              </w:rPr>
              <w:t>Wilayah target</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204EE">
            <w:pPr>
              <w:pStyle w:val="66"/>
              <w:jc w:val="center"/>
              <w:rPr>
                <w:rFonts w:cs="Times New Roman"/>
                <w:b/>
                <w:bCs/>
                <w:color w:val="000000"/>
                <w:sz w:val="22"/>
                <w:szCs w:val="21"/>
              </w:rPr>
            </w:pPr>
            <w:r>
              <w:rPr>
                <w:rFonts w:cs="Times New Roman"/>
                <w:b/>
                <w:bCs/>
                <w:color w:val="000000"/>
                <w:sz w:val="22"/>
                <w:szCs w:val="21"/>
              </w:rPr>
              <w:t>Pola hujan</w:t>
            </w:r>
          </w:p>
        </w:tc>
        <w:tc>
          <w:tcPr>
            <w:tcW w:w="5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3E903">
            <w:pPr>
              <w:pStyle w:val="66"/>
              <w:jc w:val="center"/>
              <w:rPr>
                <w:rFonts w:cs="Times New Roman"/>
                <w:b/>
                <w:bCs/>
                <w:color w:val="000000"/>
                <w:sz w:val="22"/>
                <w:szCs w:val="21"/>
              </w:rPr>
            </w:pPr>
            <w:r>
              <w:rPr>
                <w:rFonts w:cs="Times New Roman"/>
                <w:b/>
                <w:bCs/>
                <w:color w:val="000000"/>
                <w:sz w:val="22"/>
                <w:szCs w:val="21"/>
              </w:rPr>
              <w:t>RMSE (</w:t>
            </w:r>
            <m:oMath>
              <m:sSub>
                <m:sSubPr>
                  <m:ctrlPr>
                    <w:rPr>
                      <w:rFonts w:ascii="Cambria Math" w:hAnsi="Cambria Math" w:cs="Times New Roman"/>
                      <w:b/>
                      <w:bCs/>
                      <w:color w:val="000000"/>
                      <w:sz w:val="22"/>
                      <w:szCs w:val="21"/>
                    </w:rPr>
                  </m:ctrlPr>
                </m:sSubPr>
                <m:e>
                  <m:r>
                    <m:rPr>
                      <m:nor/>
                      <m:sty m:val="bi"/>
                    </m:rPr>
                    <w:rPr>
                      <w:rFonts w:cs="Times New Roman"/>
                      <w:b/>
                      <w:bCs/>
                      <w:i/>
                      <w:color w:val="000000"/>
                      <w:sz w:val="22"/>
                      <w:szCs w:val="21"/>
                    </w:rPr>
                    <m:t>y</m:t>
                  </m:r>
                  <m:ctrlPr>
                    <w:rPr>
                      <w:rFonts w:ascii="Cambria Math" w:hAnsi="Cambria Math" w:cs="Times New Roman"/>
                      <w:b/>
                      <w:bCs/>
                      <w:color w:val="000000"/>
                      <w:sz w:val="22"/>
                      <w:szCs w:val="21"/>
                    </w:rPr>
                  </m:ctrlPr>
                </m:e>
                <m:sub>
                  <m:r>
                    <m:rPr>
                      <m:nor/>
                      <m:sty m:val="bi"/>
                    </m:rPr>
                    <w:rPr>
                      <w:rFonts w:cs="Times New Roman"/>
                      <w:b/>
                      <w:bCs/>
                      <w:i/>
                      <w:color w:val="000000"/>
                      <w:sz w:val="22"/>
                      <w:szCs w:val="21"/>
                    </w:rPr>
                    <m:t>trans</m:t>
                  </m:r>
                  <m:ctrlPr>
                    <w:rPr>
                      <w:rFonts w:ascii="Cambria Math" w:hAnsi="Cambria Math" w:cs="Times New Roman"/>
                      <w:b/>
                      <w:bCs/>
                      <w:color w:val="000000"/>
                      <w:sz w:val="22"/>
                      <w:szCs w:val="21"/>
                    </w:rPr>
                  </m:ctrlPr>
                </m:sub>
              </m:sSub>
            </m:oMath>
            <w:r>
              <w:rPr>
                <w:rFonts w:cs="Times New Roman"/>
                <w:b/>
                <w:bCs/>
                <w:color w:val="000000"/>
                <w:sz w:val="22"/>
                <w:szCs w:val="21"/>
              </w:rPr>
              <w:t>)</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F0E07">
            <w:pPr>
              <w:pStyle w:val="66"/>
              <w:jc w:val="center"/>
              <w:rPr>
                <w:rFonts w:cs="Times New Roman"/>
                <w:b/>
                <w:bCs/>
                <w:color w:val="000000"/>
                <w:sz w:val="22"/>
                <w:szCs w:val="21"/>
              </w:rPr>
            </w:pPr>
            <w:r>
              <w:rPr>
                <w:rFonts w:cs="Times New Roman"/>
                <w:b/>
                <w:bCs/>
                <w:color w:val="000000"/>
                <w:sz w:val="22"/>
                <w:szCs w:val="21"/>
              </w:rPr>
              <w:t>MAE (</w:t>
            </w:r>
            <m:oMath>
              <m:sSub>
                <m:sSubPr>
                  <m:ctrlPr>
                    <w:rPr>
                      <w:rFonts w:ascii="Cambria Math" w:hAnsi="Cambria Math" w:cs="Times New Roman"/>
                      <w:b/>
                      <w:bCs/>
                      <w:color w:val="000000"/>
                      <w:sz w:val="22"/>
                      <w:szCs w:val="21"/>
                    </w:rPr>
                  </m:ctrlPr>
                </m:sSubPr>
                <m:e>
                  <m:r>
                    <m:rPr>
                      <m:nor/>
                      <m:sty m:val="bi"/>
                    </m:rPr>
                    <w:rPr>
                      <w:rFonts w:cs="Times New Roman"/>
                      <w:b/>
                      <w:bCs/>
                      <w:i/>
                      <w:color w:val="000000"/>
                      <w:sz w:val="22"/>
                      <w:szCs w:val="21"/>
                    </w:rPr>
                    <m:t>y</m:t>
                  </m:r>
                  <m:ctrlPr>
                    <w:rPr>
                      <w:rFonts w:ascii="Cambria Math" w:hAnsi="Cambria Math" w:cs="Times New Roman"/>
                      <w:b/>
                      <w:bCs/>
                      <w:color w:val="000000"/>
                      <w:sz w:val="22"/>
                      <w:szCs w:val="21"/>
                    </w:rPr>
                  </m:ctrlPr>
                </m:e>
                <m:sub>
                  <m:r>
                    <m:rPr>
                      <m:nor/>
                      <m:sty m:val="bi"/>
                    </m:rPr>
                    <w:rPr>
                      <w:rFonts w:cs="Times New Roman"/>
                      <w:b/>
                      <w:bCs/>
                      <w:i/>
                      <w:color w:val="000000"/>
                      <w:sz w:val="22"/>
                      <w:szCs w:val="21"/>
                    </w:rPr>
                    <m:t>trans</m:t>
                  </m:r>
                  <m:ctrlPr>
                    <w:rPr>
                      <w:rFonts w:ascii="Cambria Math" w:hAnsi="Cambria Math" w:cs="Times New Roman"/>
                      <w:b/>
                      <w:bCs/>
                      <w:color w:val="000000"/>
                      <w:sz w:val="22"/>
                      <w:szCs w:val="21"/>
                    </w:rPr>
                  </m:ctrlPr>
                </m:sub>
              </m:sSub>
            </m:oMath>
            <w:r>
              <w:rPr>
                <w:rFonts w:cs="Times New Roman"/>
                <w:b/>
                <w:bCs/>
                <w:color w:val="000000"/>
                <w:sz w:val="22"/>
                <w:szCs w:val="21"/>
              </w:rPr>
              <w:t>)</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F8C8">
            <w:pPr>
              <w:pStyle w:val="66"/>
              <w:jc w:val="center"/>
              <w:rPr>
                <w:rFonts w:cs="Times New Roman"/>
                <w:b/>
                <w:bCs/>
                <w:color w:val="000000"/>
                <w:sz w:val="22"/>
                <w:szCs w:val="21"/>
              </w:rPr>
            </w:pPr>
            <m:oMath>
              <m:sSup>
                <m:sSupPr>
                  <m:ctrlPr>
                    <w:rPr>
                      <w:rFonts w:ascii="Cambria Math" w:hAnsi="Cambria Math" w:cs="Times New Roman"/>
                      <w:b/>
                      <w:bCs/>
                      <w:color w:val="000000"/>
                      <w:sz w:val="22"/>
                      <w:szCs w:val="21"/>
                    </w:rPr>
                  </m:ctrlPr>
                </m:sSupPr>
                <m:e>
                  <m:r>
                    <m:rPr>
                      <m:nor/>
                      <m:sty m:val="bi"/>
                    </m:rPr>
                    <w:rPr>
                      <w:rFonts w:cs="Times New Roman"/>
                      <w:b/>
                      <w:bCs/>
                      <w:i/>
                      <w:color w:val="000000"/>
                      <w:sz w:val="22"/>
                      <w:szCs w:val="21"/>
                    </w:rPr>
                    <m:t>R</m:t>
                  </m:r>
                  <m:ctrlPr>
                    <w:rPr>
                      <w:rFonts w:ascii="Cambria Math" w:hAnsi="Cambria Math" w:cs="Times New Roman"/>
                      <w:b/>
                      <w:bCs/>
                      <w:color w:val="000000"/>
                      <w:sz w:val="22"/>
                      <w:szCs w:val="21"/>
                    </w:rPr>
                  </m:ctrlPr>
                </m:e>
                <m:sup>
                  <m:r>
                    <m:rPr>
                      <m:nor/>
                      <m:sty m:val="b"/>
                    </m:rPr>
                    <w:rPr>
                      <w:rFonts w:cs="Times New Roman"/>
                      <w:b/>
                      <w:bCs/>
                      <w:color w:val="000000"/>
                      <w:sz w:val="22"/>
                      <w:szCs w:val="21"/>
                    </w:rPr>
                    <m:t>2</m:t>
                  </m:r>
                  <m:ctrlPr>
                    <w:rPr>
                      <w:rFonts w:ascii="Cambria Math" w:hAnsi="Cambria Math" w:cs="Times New Roman"/>
                      <w:b/>
                      <w:bCs/>
                      <w:color w:val="000000"/>
                      <w:sz w:val="22"/>
                      <w:szCs w:val="21"/>
                    </w:rPr>
                  </m:ctrlPr>
                </m:sup>
              </m:sSup>
            </m:oMath>
            <w:r>
              <w:rPr>
                <w:rFonts w:cs="Times New Roman"/>
                <w:b/>
                <w:bCs/>
                <w:color w:val="000000"/>
                <w:sz w:val="22"/>
                <w:szCs w:val="21"/>
              </w:rPr>
              <w:t xml:space="preserve"> (</w:t>
            </w:r>
            <m:oMath>
              <m:sSub>
                <m:sSubPr>
                  <m:ctrlPr>
                    <w:rPr>
                      <w:rFonts w:ascii="Cambria Math" w:hAnsi="Cambria Math" w:cs="Times New Roman"/>
                      <w:b/>
                      <w:bCs/>
                      <w:color w:val="000000"/>
                      <w:sz w:val="22"/>
                      <w:szCs w:val="21"/>
                    </w:rPr>
                  </m:ctrlPr>
                </m:sSubPr>
                <m:e>
                  <m:r>
                    <m:rPr>
                      <m:nor/>
                      <m:sty m:val="bi"/>
                    </m:rPr>
                    <w:rPr>
                      <w:rFonts w:cs="Times New Roman"/>
                      <w:b/>
                      <w:bCs/>
                      <w:i/>
                      <w:color w:val="000000"/>
                      <w:sz w:val="22"/>
                      <w:szCs w:val="21"/>
                    </w:rPr>
                    <m:t>y</m:t>
                  </m:r>
                  <m:ctrlPr>
                    <w:rPr>
                      <w:rFonts w:ascii="Cambria Math" w:hAnsi="Cambria Math" w:cs="Times New Roman"/>
                      <w:b/>
                      <w:bCs/>
                      <w:color w:val="000000"/>
                      <w:sz w:val="22"/>
                      <w:szCs w:val="21"/>
                    </w:rPr>
                  </m:ctrlPr>
                </m:e>
                <m:sub>
                  <m:r>
                    <m:rPr>
                      <m:nor/>
                      <m:sty m:val="bi"/>
                    </m:rPr>
                    <w:rPr>
                      <w:rFonts w:cs="Times New Roman"/>
                      <w:b/>
                      <w:bCs/>
                      <w:i/>
                      <w:color w:val="000000"/>
                      <w:sz w:val="22"/>
                      <w:szCs w:val="21"/>
                    </w:rPr>
                    <m:t>trans</m:t>
                  </m:r>
                  <m:ctrlPr>
                    <w:rPr>
                      <w:rFonts w:ascii="Cambria Math" w:hAnsi="Cambria Math" w:cs="Times New Roman"/>
                      <w:b/>
                      <w:bCs/>
                      <w:color w:val="000000"/>
                      <w:sz w:val="22"/>
                      <w:szCs w:val="21"/>
                    </w:rPr>
                  </m:ctrlPr>
                </m:sub>
              </m:sSub>
            </m:oMath>
            <w:r>
              <w:rPr>
                <w:rFonts w:cs="Times New Roman"/>
                <w:b/>
                <w:bCs/>
                <w:color w:val="000000"/>
                <w:sz w:val="22"/>
                <w:szCs w:val="21"/>
              </w:rPr>
              <w:t>)</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A137B">
            <w:pPr>
              <w:pStyle w:val="66"/>
              <w:jc w:val="center"/>
              <w:rPr>
                <w:rFonts w:cs="Times New Roman"/>
                <w:b/>
                <w:bCs/>
                <w:color w:val="000000"/>
                <w:sz w:val="22"/>
                <w:szCs w:val="21"/>
              </w:rPr>
            </w:pPr>
            <w:r>
              <w:rPr>
                <w:rFonts w:cs="Times New Roman"/>
                <w:b/>
                <w:bCs/>
                <w:color w:val="000000"/>
                <w:sz w:val="22"/>
                <w:szCs w:val="21"/>
              </w:rPr>
              <w:t>RMSE raw (mm)</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3538">
            <w:pPr>
              <w:pStyle w:val="66"/>
              <w:jc w:val="center"/>
              <w:rPr>
                <w:rFonts w:cs="Times New Roman"/>
                <w:b/>
                <w:bCs/>
                <w:color w:val="000000"/>
                <w:sz w:val="22"/>
                <w:szCs w:val="21"/>
              </w:rPr>
            </w:pPr>
            <m:oMath>
              <m:sSup>
                <m:sSupPr>
                  <m:ctrlPr>
                    <w:rPr>
                      <w:rFonts w:ascii="Cambria Math" w:hAnsi="Cambria Math" w:cs="Times New Roman"/>
                      <w:b/>
                      <w:bCs/>
                      <w:color w:val="000000"/>
                      <w:sz w:val="22"/>
                      <w:szCs w:val="21"/>
                    </w:rPr>
                  </m:ctrlPr>
                </m:sSupPr>
                <m:e>
                  <m:r>
                    <m:rPr>
                      <m:nor/>
                      <m:sty m:val="bi"/>
                    </m:rPr>
                    <w:rPr>
                      <w:rFonts w:cs="Times New Roman"/>
                      <w:b/>
                      <w:bCs/>
                      <w:i/>
                      <w:color w:val="000000"/>
                      <w:sz w:val="22"/>
                      <w:szCs w:val="21"/>
                    </w:rPr>
                    <m:t>R</m:t>
                  </m:r>
                  <m:ctrlPr>
                    <w:rPr>
                      <w:rFonts w:ascii="Cambria Math" w:hAnsi="Cambria Math" w:cs="Times New Roman"/>
                      <w:b/>
                      <w:bCs/>
                      <w:color w:val="000000"/>
                      <w:sz w:val="22"/>
                      <w:szCs w:val="21"/>
                    </w:rPr>
                  </m:ctrlPr>
                </m:e>
                <m:sup>
                  <m:r>
                    <m:rPr>
                      <m:nor/>
                      <m:sty m:val="b"/>
                    </m:rPr>
                    <w:rPr>
                      <w:rFonts w:cs="Times New Roman"/>
                      <w:b/>
                      <w:bCs/>
                      <w:color w:val="000000"/>
                      <w:sz w:val="22"/>
                      <w:szCs w:val="21"/>
                    </w:rPr>
                    <m:t>2</m:t>
                  </m:r>
                  <m:ctrlPr>
                    <w:rPr>
                      <w:rFonts w:ascii="Cambria Math" w:hAnsi="Cambria Math" w:cs="Times New Roman"/>
                      <w:b/>
                      <w:bCs/>
                      <w:color w:val="000000"/>
                      <w:sz w:val="22"/>
                      <w:szCs w:val="21"/>
                    </w:rPr>
                  </m:ctrlPr>
                </m:sup>
              </m:sSup>
            </m:oMath>
            <w:r>
              <w:rPr>
                <w:rFonts w:cs="Times New Roman"/>
                <w:b/>
                <w:bCs/>
                <w:color w:val="000000"/>
                <w:sz w:val="22"/>
                <w:szCs w:val="21"/>
              </w:rPr>
              <w:t xml:space="preserve"> raw</w:t>
            </w:r>
          </w:p>
        </w:tc>
      </w:tr>
      <w:tr w14:paraId="2431CD3D">
        <w:tblPrEx>
          <w:tblCellMar>
            <w:top w:w="0" w:type="dxa"/>
            <w:left w:w="108" w:type="dxa"/>
            <w:bottom w:w="0" w:type="dxa"/>
            <w:right w:w="108" w:type="dxa"/>
          </w:tblCellMar>
        </w:tblPrEx>
        <w:tc>
          <w:tcPr>
            <w:tcW w:w="7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B3AC7">
            <w:pPr>
              <w:pStyle w:val="66"/>
              <w:jc w:val="center"/>
              <w:rPr>
                <w:rFonts w:cs="Times New Roman"/>
                <w:color w:val="000000"/>
                <w:sz w:val="22"/>
                <w:szCs w:val="21"/>
              </w:rPr>
            </w:pPr>
            <w:r>
              <w:rPr>
                <w:rFonts w:cs="Times New Roman"/>
                <w:color w:val="000000"/>
                <w:sz w:val="22"/>
                <w:szCs w:val="21"/>
              </w:rPr>
              <w:t>Kupang</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AA8A1">
            <w:pPr>
              <w:pStyle w:val="66"/>
              <w:jc w:val="center"/>
              <w:rPr>
                <w:rFonts w:cs="Times New Roman"/>
                <w:color w:val="000000"/>
                <w:sz w:val="22"/>
                <w:szCs w:val="21"/>
              </w:rPr>
            </w:pPr>
            <w:r>
              <w:rPr>
                <w:rFonts w:cs="Times New Roman"/>
                <w:color w:val="000000"/>
                <w:sz w:val="22"/>
                <w:szCs w:val="21"/>
              </w:rPr>
              <w:t>Monsunal</w:t>
            </w:r>
          </w:p>
        </w:tc>
        <w:tc>
          <w:tcPr>
            <w:tcW w:w="5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3F524">
            <w:pPr>
              <w:pStyle w:val="66"/>
              <w:jc w:val="center"/>
              <w:rPr>
                <w:rFonts w:cs="Times New Roman"/>
                <w:color w:val="000000"/>
                <w:sz w:val="22"/>
                <w:szCs w:val="21"/>
              </w:rPr>
            </w:pPr>
            <w:r>
              <w:rPr>
                <w:rFonts w:cs="Times New Roman"/>
                <w:bCs/>
                <w:color w:val="000000"/>
                <w:sz w:val="22"/>
                <w:szCs w:val="21"/>
              </w:rPr>
              <w:t>3,3730</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038F3">
            <w:pPr>
              <w:pStyle w:val="66"/>
              <w:jc w:val="center"/>
              <w:rPr>
                <w:rFonts w:cs="Times New Roman"/>
                <w:color w:val="000000"/>
                <w:sz w:val="22"/>
                <w:szCs w:val="21"/>
              </w:rPr>
            </w:pPr>
            <w:r>
              <w:rPr>
                <w:rFonts w:cs="Times New Roman"/>
                <w:bCs/>
                <w:color w:val="000000"/>
                <w:sz w:val="22"/>
                <w:szCs w:val="21"/>
              </w:rPr>
              <w:t>2,6301</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59812">
            <w:pPr>
              <w:pStyle w:val="66"/>
              <w:jc w:val="center"/>
              <w:rPr>
                <w:rFonts w:cs="Times New Roman"/>
                <w:color w:val="000000"/>
                <w:sz w:val="22"/>
                <w:szCs w:val="21"/>
              </w:rPr>
            </w:pPr>
            <w:r>
              <w:rPr>
                <w:rFonts w:cs="Times New Roman"/>
                <w:bCs/>
                <w:color w:val="000000"/>
                <w:sz w:val="22"/>
                <w:szCs w:val="21"/>
              </w:rPr>
              <w:t>0,6190</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7C38E">
            <w:pPr>
              <w:pStyle w:val="66"/>
              <w:jc w:val="center"/>
              <w:rPr>
                <w:rFonts w:cs="Times New Roman"/>
                <w:color w:val="000000"/>
                <w:sz w:val="22"/>
                <w:szCs w:val="21"/>
              </w:rPr>
            </w:pPr>
            <w:r>
              <w:rPr>
                <w:rFonts w:cs="Times New Roman"/>
                <w:bCs/>
                <w:color w:val="000000"/>
                <w:sz w:val="22"/>
                <w:szCs w:val="21"/>
              </w:rPr>
              <w:t>69,30</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5F055">
            <w:pPr>
              <w:pStyle w:val="66"/>
              <w:jc w:val="center"/>
              <w:rPr>
                <w:rFonts w:cs="Times New Roman"/>
                <w:color w:val="000000"/>
                <w:sz w:val="22"/>
                <w:szCs w:val="21"/>
              </w:rPr>
            </w:pPr>
            <w:r>
              <w:rPr>
                <w:rFonts w:cs="Times New Roman"/>
                <w:bCs/>
                <w:color w:val="000000"/>
                <w:sz w:val="22"/>
                <w:szCs w:val="21"/>
              </w:rPr>
              <w:t>0,4844</w:t>
            </w:r>
          </w:p>
        </w:tc>
      </w:tr>
      <w:tr w14:paraId="5D26B6F5">
        <w:tblPrEx>
          <w:tblCellMar>
            <w:top w:w="0" w:type="dxa"/>
            <w:left w:w="108" w:type="dxa"/>
            <w:bottom w:w="0" w:type="dxa"/>
            <w:right w:w="108" w:type="dxa"/>
          </w:tblCellMar>
        </w:tblPrEx>
        <w:tc>
          <w:tcPr>
            <w:tcW w:w="7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B6744">
            <w:pPr>
              <w:pStyle w:val="66"/>
              <w:jc w:val="center"/>
              <w:rPr>
                <w:rFonts w:cs="Times New Roman"/>
                <w:color w:val="000000"/>
                <w:sz w:val="22"/>
                <w:szCs w:val="21"/>
              </w:rPr>
            </w:pPr>
            <w:r>
              <w:rPr>
                <w:rFonts w:cs="Times New Roman"/>
                <w:color w:val="000000"/>
                <w:sz w:val="22"/>
                <w:szCs w:val="21"/>
              </w:rPr>
              <w:t>Padang</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D567D4">
            <w:pPr>
              <w:pStyle w:val="66"/>
              <w:jc w:val="center"/>
              <w:rPr>
                <w:rFonts w:cs="Times New Roman"/>
                <w:color w:val="000000"/>
                <w:sz w:val="22"/>
                <w:szCs w:val="21"/>
              </w:rPr>
            </w:pPr>
            <w:r>
              <w:rPr>
                <w:rFonts w:cs="Times New Roman"/>
                <w:color w:val="000000"/>
                <w:sz w:val="22"/>
                <w:szCs w:val="21"/>
              </w:rPr>
              <w:t>Ekuatorial</w:t>
            </w:r>
          </w:p>
        </w:tc>
        <w:tc>
          <w:tcPr>
            <w:tcW w:w="5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D1ED5">
            <w:pPr>
              <w:pStyle w:val="66"/>
              <w:jc w:val="center"/>
              <w:rPr>
                <w:rFonts w:cs="Times New Roman"/>
                <w:color w:val="000000"/>
                <w:sz w:val="22"/>
                <w:szCs w:val="21"/>
              </w:rPr>
            </w:pPr>
            <w:r>
              <w:rPr>
                <w:rFonts w:cs="Times New Roman"/>
                <w:color w:val="000000"/>
                <w:sz w:val="22"/>
                <w:szCs w:val="21"/>
              </w:rPr>
              <w:t>5,2164</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4C404">
            <w:pPr>
              <w:pStyle w:val="66"/>
              <w:jc w:val="center"/>
              <w:rPr>
                <w:rFonts w:cs="Times New Roman"/>
                <w:color w:val="000000"/>
                <w:sz w:val="22"/>
                <w:szCs w:val="21"/>
              </w:rPr>
            </w:pPr>
            <w:r>
              <w:rPr>
                <w:rFonts w:cs="Times New Roman"/>
                <w:color w:val="000000"/>
                <w:sz w:val="22"/>
                <w:szCs w:val="21"/>
              </w:rPr>
              <w:t>4,0498</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0CA5C">
            <w:pPr>
              <w:pStyle w:val="66"/>
              <w:jc w:val="center"/>
              <w:rPr>
                <w:rFonts w:cs="Times New Roman"/>
                <w:color w:val="000000"/>
                <w:sz w:val="22"/>
                <w:szCs w:val="21"/>
              </w:rPr>
            </w:pPr>
            <w:r>
              <w:rPr>
                <w:rFonts w:cs="Times New Roman"/>
                <w:color w:val="000000"/>
                <w:sz w:val="22"/>
                <w:szCs w:val="21"/>
              </w:rPr>
              <w:t>0,0361</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FFD64">
            <w:pPr>
              <w:pStyle w:val="66"/>
              <w:jc w:val="center"/>
              <w:rPr>
                <w:rFonts w:cs="Times New Roman"/>
                <w:color w:val="000000"/>
                <w:sz w:val="22"/>
                <w:szCs w:val="21"/>
              </w:rPr>
            </w:pPr>
            <w:r>
              <w:rPr>
                <w:rFonts w:cs="Times New Roman"/>
                <w:color w:val="000000"/>
                <w:sz w:val="22"/>
                <w:szCs w:val="21"/>
              </w:rPr>
              <w:t>168,36</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8DA97">
            <w:pPr>
              <w:pStyle w:val="66"/>
              <w:jc w:val="center"/>
              <w:rPr>
                <w:rFonts w:cs="Times New Roman"/>
                <w:color w:val="000000"/>
                <w:sz w:val="22"/>
                <w:szCs w:val="21"/>
              </w:rPr>
            </w:pPr>
            <w:r>
              <w:rPr>
                <w:rFonts w:cs="Times New Roman"/>
                <w:color w:val="000000"/>
                <w:sz w:val="22"/>
                <w:szCs w:val="21"/>
              </w:rPr>
              <w:t>0,0481</w:t>
            </w:r>
          </w:p>
        </w:tc>
      </w:tr>
      <w:tr w14:paraId="46AC8AAC">
        <w:tblPrEx>
          <w:tblCellMar>
            <w:top w:w="0" w:type="dxa"/>
            <w:left w:w="108" w:type="dxa"/>
            <w:bottom w:w="0" w:type="dxa"/>
            <w:right w:w="108" w:type="dxa"/>
          </w:tblCellMar>
        </w:tblPrEx>
        <w:tc>
          <w:tcPr>
            <w:tcW w:w="7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5C89F">
            <w:pPr>
              <w:pStyle w:val="66"/>
              <w:jc w:val="center"/>
              <w:rPr>
                <w:rFonts w:cs="Times New Roman"/>
                <w:color w:val="000000"/>
                <w:sz w:val="22"/>
                <w:szCs w:val="21"/>
              </w:rPr>
            </w:pPr>
            <w:r>
              <w:rPr>
                <w:rFonts w:cs="Times New Roman"/>
                <w:color w:val="000000"/>
                <w:sz w:val="22"/>
                <w:szCs w:val="21"/>
              </w:rPr>
              <w:t>Ambon</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E39A7">
            <w:pPr>
              <w:pStyle w:val="66"/>
              <w:jc w:val="center"/>
              <w:rPr>
                <w:rFonts w:cs="Times New Roman"/>
                <w:color w:val="000000"/>
                <w:sz w:val="22"/>
                <w:szCs w:val="21"/>
              </w:rPr>
            </w:pPr>
            <w:r>
              <w:rPr>
                <w:rFonts w:cs="Times New Roman"/>
                <w:color w:val="000000"/>
                <w:sz w:val="22"/>
                <w:szCs w:val="21"/>
              </w:rPr>
              <w:t>Lokal</w:t>
            </w:r>
          </w:p>
        </w:tc>
        <w:tc>
          <w:tcPr>
            <w:tcW w:w="5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696DB">
            <w:pPr>
              <w:pStyle w:val="66"/>
              <w:jc w:val="center"/>
              <w:rPr>
                <w:rFonts w:cs="Times New Roman"/>
                <w:color w:val="000000"/>
                <w:sz w:val="22"/>
                <w:szCs w:val="21"/>
              </w:rPr>
            </w:pPr>
            <w:r>
              <w:rPr>
                <w:rFonts w:cs="Times New Roman"/>
                <w:color w:val="000000"/>
                <w:sz w:val="22"/>
                <w:szCs w:val="21"/>
              </w:rPr>
              <w:t>3,7572</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62B92">
            <w:pPr>
              <w:pStyle w:val="66"/>
              <w:jc w:val="center"/>
              <w:rPr>
                <w:rFonts w:cs="Times New Roman"/>
                <w:color w:val="000000"/>
                <w:sz w:val="22"/>
                <w:szCs w:val="21"/>
              </w:rPr>
            </w:pPr>
            <w:r>
              <w:rPr>
                <w:rFonts w:cs="Times New Roman"/>
                <w:color w:val="000000"/>
                <w:sz w:val="22"/>
                <w:szCs w:val="21"/>
              </w:rPr>
              <w:t>2,9263</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25BFA">
            <w:pPr>
              <w:pStyle w:val="66"/>
              <w:jc w:val="center"/>
              <w:rPr>
                <w:rFonts w:cs="Times New Roman"/>
                <w:color w:val="000000"/>
                <w:sz w:val="22"/>
                <w:szCs w:val="21"/>
              </w:rPr>
            </w:pPr>
            <w:r>
              <w:rPr>
                <w:rFonts w:cs="Times New Roman"/>
                <w:color w:val="000000"/>
                <w:sz w:val="22"/>
                <w:szCs w:val="21"/>
              </w:rPr>
              <w:t>0,2527</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F5ACB">
            <w:pPr>
              <w:pStyle w:val="66"/>
              <w:jc w:val="center"/>
              <w:rPr>
                <w:rFonts w:cs="Times New Roman"/>
                <w:color w:val="000000"/>
                <w:sz w:val="22"/>
                <w:szCs w:val="21"/>
              </w:rPr>
            </w:pPr>
            <w:r>
              <w:rPr>
                <w:rFonts w:cs="Times New Roman"/>
                <w:color w:val="000000"/>
                <w:sz w:val="22"/>
                <w:szCs w:val="21"/>
              </w:rPr>
              <w:t>92,91</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AD078">
            <w:pPr>
              <w:pStyle w:val="66"/>
              <w:jc w:val="center"/>
              <w:rPr>
                <w:rFonts w:cs="Times New Roman"/>
                <w:color w:val="000000"/>
                <w:sz w:val="22"/>
                <w:szCs w:val="21"/>
              </w:rPr>
            </w:pPr>
            <w:r>
              <w:rPr>
                <w:rFonts w:cs="Times New Roman"/>
                <w:color w:val="000000"/>
                <w:sz w:val="22"/>
                <w:szCs w:val="21"/>
              </w:rPr>
              <w:t>0,2031</w:t>
            </w:r>
          </w:p>
        </w:tc>
      </w:tr>
    </w:tbl>
    <w:p w14:paraId="6450C4B8">
      <w:pPr>
        <w:pStyle w:val="68"/>
        <w:spacing w:after="0"/>
        <w:rPr>
          <w:rFonts w:cs="Times New Roman"/>
          <w:color w:val="C00000"/>
        </w:rPr>
      </w:pPr>
    </w:p>
    <w:p w14:paraId="0997B7B0">
      <w:pPr>
        <w:pStyle w:val="68"/>
        <w:rPr>
          <w:rFonts w:cs="Times New Roman"/>
        </w:rPr>
      </w:pPr>
      <w:r>
        <w:rPr>
          <w:rFonts w:cs="Times New Roman"/>
        </w:rPr>
        <w:drawing>
          <wp:inline distT="0" distB="0" distL="114300" distR="114300">
            <wp:extent cx="4924425" cy="2431415"/>
            <wp:effectExtent l="0" t="0" r="3175" b="6985"/>
            <wp:docPr id="118" name="Picture" descr="Heatmap Metrik Akhir 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descr="Heatmap Metrik Akhir Transfer"/>
                    <pic:cNvPicPr>
                      <a:picLocks noChangeAspect="1" noChangeArrowheads="1"/>
                    </pic:cNvPicPr>
                  </pic:nvPicPr>
                  <pic:blipFill>
                    <a:blip r:embed="rId67"/>
                    <a:stretch>
                      <a:fillRect/>
                    </a:stretch>
                  </pic:blipFill>
                  <pic:spPr>
                    <a:xfrm>
                      <a:off x="0" y="0"/>
                      <a:ext cx="4924425" cy="2431415"/>
                    </a:xfrm>
                    <a:prstGeom prst="rect">
                      <a:avLst/>
                    </a:prstGeom>
                    <a:noFill/>
                    <a:ln w="9525">
                      <a:noFill/>
                    </a:ln>
                  </pic:spPr>
                </pic:pic>
              </a:graphicData>
            </a:graphic>
          </wp:inline>
        </w:drawing>
      </w:r>
    </w:p>
    <w:p w14:paraId="1C6EA38C">
      <w:pPr>
        <w:pStyle w:val="11"/>
        <w:keepNext/>
        <w:jc w:val="center"/>
        <w:rPr>
          <w:b/>
          <w:i w:val="0"/>
          <w:color w:val="auto"/>
          <w:sz w:val="24"/>
          <w:lang w:val="en-US"/>
        </w:rPr>
      </w:pPr>
      <w:bookmarkStart w:id="149" w:name="_Toc236077438"/>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27</w:t>
      </w:r>
      <w:r>
        <w:rPr>
          <w:b/>
          <w:i w:val="0"/>
          <w:color w:val="auto"/>
          <w:sz w:val="24"/>
        </w:rPr>
        <w:fldChar w:fldCharType="end"/>
      </w:r>
      <w:r>
        <w:rPr>
          <w:b/>
          <w:i w:val="0"/>
          <w:color w:val="auto"/>
          <w:sz w:val="24"/>
          <w:lang w:val="en-US"/>
        </w:rPr>
        <w:t xml:space="preserve"> Kinerja akhir ToMarx pada tiga wilayah target</w:t>
      </w:r>
      <w:bookmarkEnd w:id="149"/>
      <w:r>
        <w:rPr>
          <w:b/>
          <w:i w:val="0"/>
          <w:color w:val="auto"/>
          <w:sz w:val="24"/>
          <w:lang w:val="en-US"/>
        </w:rPr>
        <w:t xml:space="preserve"> </w:t>
      </w:r>
    </w:p>
    <w:p w14:paraId="5B84E5B5">
      <w:pPr>
        <w:pStyle w:val="5"/>
        <w:ind w:firstLine="720"/>
        <w:rPr>
          <w:rFonts w:cs="Times New Roman"/>
        </w:rPr>
      </w:pPr>
      <w:r>
        <w:rPr>
          <w:rFonts w:cs="Times New Roman"/>
        </w:rPr>
        <w:t xml:space="preserve">Selain terhadap kondisi </w:t>
      </w:r>
      <w:r>
        <w:rPr>
          <w:rFonts w:cs="Times New Roman"/>
          <w:i/>
          <w:iCs/>
        </w:rPr>
        <w:t>zero-shot</w:t>
      </w:r>
      <w:r>
        <w:rPr>
          <w:rFonts w:cs="Times New Roman"/>
        </w:rPr>
        <w:t xml:space="preserve">, kinerja </w:t>
      </w:r>
      <w:r>
        <w:rPr>
          <w:rFonts w:cs="Times New Roman"/>
          <w:iCs/>
        </w:rPr>
        <w:t>ToMarx</w:t>
      </w:r>
      <w:r>
        <w:rPr>
          <w:rFonts w:cs="Times New Roman"/>
          <w:i/>
          <w:iCs/>
        </w:rPr>
        <w:t xml:space="preserve"> </w:t>
      </w:r>
      <w:r>
        <w:rPr>
          <w:rFonts w:cs="Times New Roman"/>
        </w:rPr>
        <w:t xml:space="preserve">juga perlu diuji terhadap pembanding naif yang tidak memerlukan pembelajaran mesin sama sekali, yaitu klimatologi dan </w:t>
      </w:r>
      <w:r>
        <w:rPr>
          <w:rFonts w:cs="Times New Roman"/>
          <w:i/>
          <w:iCs/>
        </w:rPr>
        <w:t>persistence</w:t>
      </w:r>
      <w:r>
        <w:rPr>
          <w:rFonts w:cs="Times New Roman"/>
        </w:rPr>
        <w:t xml:space="preserve">. Perbandingan ini penting sebagai </w:t>
      </w:r>
      <w:r>
        <w:rPr>
          <w:rFonts w:cs="Times New Roman"/>
          <w:i/>
          <w:iCs/>
        </w:rPr>
        <w:t>sanity check</w:t>
      </w:r>
      <w:r>
        <w:rPr>
          <w:rFonts w:cs="Times New Roman"/>
        </w:rPr>
        <w:t xml:space="preserve"> agar keunggulan </w:t>
      </w:r>
      <w:r>
        <w:rPr>
          <w:rFonts w:cs="Times New Roman"/>
          <w:iCs/>
        </w:rPr>
        <w:t>ToMarx</w:t>
      </w:r>
      <w:r>
        <w:rPr>
          <w:rFonts w:cs="Times New Roman"/>
          <w:i/>
          <w:iCs/>
        </w:rPr>
        <w:t xml:space="preserve"> </w:t>
      </w:r>
      <w:r>
        <w:rPr>
          <w:rFonts w:cs="Times New Roman"/>
        </w:rPr>
        <w:t xml:space="preserve">tidak hanya diukur relatif terhadap </w:t>
      </w:r>
      <w:r>
        <w:rPr>
          <w:rFonts w:cs="Times New Roman"/>
          <w:i/>
          <w:iCs/>
        </w:rPr>
        <w:t>zero-shot</w:t>
      </w:r>
      <w:r>
        <w:rPr>
          <w:rFonts w:cs="Times New Roman"/>
        </w:rPr>
        <w:t xml:space="preserve"> yang memang lemah, melainkan juga terhadap acuan sederhana yang lazim digunakan secara operasional. </w:t>
      </w:r>
    </w:p>
    <w:p w14:paraId="146D4545">
      <w:pPr>
        <w:pStyle w:val="5"/>
        <w:keepNext/>
      </w:pPr>
      <w:r>
        <w:drawing>
          <wp:inline distT="0" distB="0" distL="0" distR="0">
            <wp:extent cx="5035550" cy="2603500"/>
            <wp:effectExtent l="0" t="0" r="0" b="6350"/>
            <wp:docPr id="53" name="Picture 53" descr="C:\Users\T0nnY St4rK\AppData\Local\Microsoft\Windows\INetCache\Content.MSO\39D1E8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Users\T0nnY St4rK\AppData\Local\Microsoft\Windows\INetCache\Content.MSO\39D1E85D.tmp"/>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035550" cy="2603916"/>
                    </a:xfrm>
                    <a:prstGeom prst="rect">
                      <a:avLst/>
                    </a:prstGeom>
                    <a:noFill/>
                    <a:ln>
                      <a:noFill/>
                    </a:ln>
                  </pic:spPr>
                </pic:pic>
              </a:graphicData>
            </a:graphic>
          </wp:inline>
        </w:drawing>
      </w:r>
    </w:p>
    <w:p w14:paraId="3F072CDA">
      <w:pPr>
        <w:pStyle w:val="11"/>
        <w:jc w:val="center"/>
        <w:rPr>
          <w:rFonts w:cs="Times New Roman"/>
          <w:b/>
          <w:i w:val="0"/>
          <w:color w:val="auto"/>
          <w:sz w:val="24"/>
        </w:rPr>
      </w:pPr>
      <w:bookmarkStart w:id="150" w:name="_Toc236077439"/>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28</w:t>
      </w:r>
      <w:r>
        <w:rPr>
          <w:b/>
          <w:i w:val="0"/>
          <w:color w:val="auto"/>
          <w:sz w:val="24"/>
        </w:rPr>
        <w:fldChar w:fldCharType="end"/>
      </w:r>
      <w:r>
        <w:rPr>
          <w:b/>
          <w:i w:val="0"/>
          <w:color w:val="auto"/>
          <w:sz w:val="24"/>
          <w:lang w:val="en-US"/>
        </w:rPr>
        <w:t xml:space="preserve"> Sanity check performa ToMarx terhadap </w:t>
      </w:r>
      <w:r>
        <w:rPr>
          <w:b/>
          <w:color w:val="auto"/>
          <w:sz w:val="24"/>
          <w:lang w:val="en-US"/>
        </w:rPr>
        <w:t>baseline</w:t>
      </w:r>
      <w:bookmarkEnd w:id="150"/>
    </w:p>
    <w:p w14:paraId="1150774C">
      <w:pPr>
        <w:pStyle w:val="5"/>
        <w:ind w:firstLine="720"/>
        <w:rPr>
          <w:rFonts w:cs="Times New Roman"/>
        </w:rPr>
      </w:pPr>
      <w:r>
        <w:rPr>
          <w:rFonts w:cs="Times New Roman"/>
        </w:rPr>
        <w:t xml:space="preserve">Gambar 4. </w:t>
      </w:r>
      <w:r>
        <w:rPr>
          <w:rFonts w:cs="Times New Roman"/>
          <w:lang w:val="en-US"/>
        </w:rPr>
        <w:t>2</w:t>
      </w:r>
      <w:r>
        <w:rPr>
          <w:rFonts w:cs="Times New Roman"/>
        </w:rPr>
        <w:t xml:space="preserve">8 menunjukkan bahwa ToMarx mengungguli </w:t>
      </w:r>
      <w:r>
        <w:rPr>
          <w:rFonts w:cs="Times New Roman"/>
          <w:i/>
        </w:rPr>
        <w:t>persistence</w:t>
      </w:r>
      <w:r>
        <w:rPr>
          <w:rFonts w:cs="Times New Roman"/>
        </w:rPr>
        <w:t xml:space="preserve"> secara konsisten pada ketiga wilayah, tetapi hanya mengungguli klimatologi secara jelas di Ambon. Pada Kupang dan Padang, RMSE ToMarx pada skala asli justru sedikit lebih tinggi dibanding klimatologi murni. Temuan ini menegaskan bahwa kontribusi transfer learning pada penelitian ini paling nyata dalam mengalahkan persistence, sementara keunggulannya atas klimatologi masih terbatas pada wilayah dengan pola musiman yang lebih mudah dipetakan seperti Ambon.</w:t>
      </w:r>
    </w:p>
    <w:p w14:paraId="56FD58C1">
      <w:pPr>
        <w:pStyle w:val="68"/>
        <w:rPr>
          <w:rFonts w:cs="Times New Roman"/>
        </w:rPr>
      </w:pPr>
      <w:r>
        <w:rPr>
          <w:rFonts w:cs="Times New Roman"/>
        </w:rPr>
        <w:drawing>
          <wp:inline distT="0" distB="0" distL="114300" distR="114300">
            <wp:extent cx="5000625" cy="3462655"/>
            <wp:effectExtent l="0" t="0" r="3175" b="4445"/>
            <wp:docPr id="127" name="Picture" descr="Time Series Transfer 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descr="Time Series Transfer H1"/>
                    <pic:cNvPicPr>
                      <a:picLocks noChangeAspect="1" noChangeArrowheads="1"/>
                    </pic:cNvPicPr>
                  </pic:nvPicPr>
                  <pic:blipFill>
                    <a:blip r:embed="rId69"/>
                    <a:stretch>
                      <a:fillRect/>
                    </a:stretch>
                  </pic:blipFill>
                  <pic:spPr>
                    <a:xfrm>
                      <a:off x="0" y="0"/>
                      <a:ext cx="5000625" cy="3462655"/>
                    </a:xfrm>
                    <a:prstGeom prst="rect">
                      <a:avLst/>
                    </a:prstGeom>
                    <a:noFill/>
                    <a:ln w="9525">
                      <a:noFill/>
                    </a:ln>
                  </pic:spPr>
                </pic:pic>
              </a:graphicData>
            </a:graphic>
          </wp:inline>
        </w:drawing>
      </w:r>
    </w:p>
    <w:p w14:paraId="5042BC27">
      <w:pPr>
        <w:pStyle w:val="11"/>
        <w:keepNext/>
        <w:jc w:val="center"/>
        <w:rPr>
          <w:b/>
          <w:i w:val="0"/>
          <w:color w:val="auto"/>
          <w:sz w:val="24"/>
          <w:lang w:val="en-US"/>
        </w:rPr>
      </w:pPr>
      <w:bookmarkStart w:id="151" w:name="_Toc236077440"/>
      <w:r>
        <w:rPr>
          <w:b/>
          <w:i w:val="0"/>
          <w:color w:val="auto"/>
          <w:sz w:val="24"/>
        </w:rPr>
        <w:t xml:space="preserve">Gambar 4. </w:t>
      </w:r>
      <w:r>
        <w:rPr>
          <w:b/>
          <w:i w:val="0"/>
          <w:color w:val="auto"/>
          <w:sz w:val="24"/>
        </w:rPr>
        <w:fldChar w:fldCharType="begin"/>
      </w:r>
      <w:r>
        <w:rPr>
          <w:b/>
          <w:i w:val="0"/>
          <w:color w:val="auto"/>
          <w:sz w:val="24"/>
        </w:rPr>
        <w:instrText xml:space="preserve"> SEQ Gambar_4. \* ARABIC </w:instrText>
      </w:r>
      <w:r>
        <w:rPr>
          <w:b/>
          <w:i w:val="0"/>
          <w:color w:val="auto"/>
          <w:sz w:val="24"/>
        </w:rPr>
        <w:fldChar w:fldCharType="separate"/>
      </w:r>
      <w:r>
        <w:rPr>
          <w:b/>
          <w:i w:val="0"/>
          <w:color w:val="auto"/>
          <w:sz w:val="24"/>
        </w:rPr>
        <w:t>29</w:t>
      </w:r>
      <w:r>
        <w:rPr>
          <w:b/>
          <w:i w:val="0"/>
          <w:color w:val="auto"/>
          <w:sz w:val="24"/>
        </w:rPr>
        <w:fldChar w:fldCharType="end"/>
      </w:r>
      <w:r>
        <w:rPr>
          <w:b/>
          <w:i w:val="0"/>
          <w:color w:val="auto"/>
          <w:sz w:val="24"/>
          <w:lang w:val="en-US"/>
        </w:rPr>
        <w:t xml:space="preserve"> Deret waktu prediksi H+1 </w:t>
      </w:r>
      <w:r>
        <w:rPr>
          <w:b/>
          <w:color w:val="auto"/>
          <w:sz w:val="24"/>
          <w:lang w:val="en-US"/>
        </w:rPr>
        <w:t>transfer learning</w:t>
      </w:r>
      <w:bookmarkEnd w:id="151"/>
    </w:p>
    <w:p w14:paraId="2B390E6B">
      <w:pPr>
        <w:pStyle w:val="5"/>
        <w:ind w:firstLine="720"/>
        <w:rPr>
          <w:rFonts w:cs="Times New Roman"/>
        </w:rPr>
      </w:pPr>
      <w:r>
        <w:rPr>
          <w:rFonts w:cs="Times New Roman"/>
        </w:rPr>
        <w:t>Gambar 4.</w:t>
      </w:r>
      <w:r>
        <w:rPr>
          <w:rFonts w:cs="Times New Roman"/>
          <w:lang w:val="en-US"/>
        </w:rPr>
        <w:t xml:space="preserve"> 29</w:t>
      </w:r>
      <w:r>
        <w:rPr>
          <w:rFonts w:cs="Times New Roman"/>
        </w:rPr>
        <w:t xml:space="preserve"> menampilkan deret waktu prediksi H+1 pada data uji. Pada Kupang, prediksi mengikuti perubahan musiman kering-basah dengan cukup baik, meskipun beberapa puncak hujan masih </w:t>
      </w:r>
      <w:r>
        <w:rPr>
          <w:rFonts w:cs="Times New Roman"/>
          <w:lang w:val="en-US"/>
        </w:rPr>
        <w:t>gagal diprediksi</w:t>
      </w:r>
      <w:r>
        <w:rPr>
          <w:rFonts w:cs="Times New Roman"/>
        </w:rPr>
        <w:t xml:space="preserve">. Pada Padang, prediksi cenderung lebih halus dan berada pada rentang menengah, sehingga kejadian hujan sangat tinggi belum dapat dipulihkan. Pada Ambon, pola naik-turun musiman lebih terbaca dibanding Padang, tetapi puncak ekstrem tetap teredam. Dengan demikian, grafik deret waktu menguatkan interpretasi bahwa masalah utama model bukan hanya </w:t>
      </w:r>
      <w:r>
        <w:rPr>
          <w:rFonts w:cs="Times New Roman"/>
          <w:i/>
          <w:iCs/>
        </w:rPr>
        <w:t xml:space="preserve">error </w:t>
      </w:r>
      <w:r>
        <w:rPr>
          <w:rFonts w:cs="Times New Roman"/>
        </w:rPr>
        <w:t xml:space="preserve">rata-rata, melainkan </w:t>
      </w:r>
      <w:r>
        <w:rPr>
          <w:rFonts w:cs="Times New Roman"/>
          <w:i/>
          <w:iCs/>
        </w:rPr>
        <w:t xml:space="preserve">smoothing </w:t>
      </w:r>
      <w:r>
        <w:rPr>
          <w:rFonts w:cs="Times New Roman"/>
        </w:rPr>
        <w:t>terhadap kejadian hujan puncak.</w:t>
      </w:r>
    </w:p>
    <w:p w14:paraId="46EAE813">
      <w:pPr>
        <w:pStyle w:val="4"/>
      </w:pPr>
      <w:bookmarkStart w:id="152" w:name="_Toc236076775"/>
      <w:r>
        <w:rPr>
          <w:bCs/>
        </w:rPr>
        <w:t xml:space="preserve">4.6.5 Temuan </w:t>
      </w:r>
      <w:r>
        <w:rPr>
          <w:bCs/>
          <w:i/>
          <w:iCs/>
        </w:rPr>
        <w:t>Transfer Learning</w:t>
      </w:r>
      <w:bookmarkEnd w:id="152"/>
    </w:p>
    <w:p w14:paraId="501C8DF4">
      <w:pPr>
        <w:pStyle w:val="5"/>
        <w:spacing w:before="0" w:after="0"/>
        <w:ind w:firstLine="720"/>
        <w:rPr>
          <w:rFonts w:cs="Times New Roman"/>
        </w:rPr>
      </w:pPr>
      <w:r>
        <w:rPr>
          <w:rFonts w:cs="Times New Roman"/>
        </w:rPr>
        <w:t xml:space="preserve">Secara keseluruhan, hasil </w:t>
      </w:r>
      <w:r>
        <w:rPr>
          <w:rFonts w:cs="Times New Roman"/>
          <w:i/>
          <w:iCs/>
        </w:rPr>
        <w:t xml:space="preserve">transfer learning </w:t>
      </w:r>
      <w:r>
        <w:rPr>
          <w:rFonts w:cs="Times New Roman"/>
        </w:rPr>
        <w:t xml:space="preserve">menunjukkan tiga temuan utama. Pertama, </w:t>
      </w:r>
      <w:r>
        <w:rPr>
          <w:rFonts w:cs="Times New Roman"/>
          <w:i/>
          <w:iCs/>
        </w:rPr>
        <w:t>zero-shot</w:t>
      </w:r>
      <w:r>
        <w:rPr>
          <w:rFonts w:cs="Times New Roman"/>
        </w:rPr>
        <w:t xml:space="preserve"> belum cukup untuk generalisasi lintas pola hujan, terutama pada Kupang dan Padang. Kedua, </w:t>
      </w:r>
      <w:r>
        <w:rPr>
          <w:rFonts w:cs="Times New Roman"/>
          <w:i/>
          <w:iCs/>
        </w:rPr>
        <w:t xml:space="preserve">head-only fine-tuning </w:t>
      </w:r>
      <w:r>
        <w:rPr>
          <w:rFonts w:cs="Times New Roman"/>
        </w:rPr>
        <w:t xml:space="preserve">memberi perbaikan awal tetapi masih terbatas karena </w:t>
      </w:r>
      <w:r>
        <w:rPr>
          <w:rFonts w:cs="Times New Roman"/>
          <w:i/>
          <w:iCs/>
        </w:rPr>
        <w:t xml:space="preserve">encoder </w:t>
      </w:r>
      <w:r>
        <w:rPr>
          <w:rFonts w:cs="Times New Roman"/>
        </w:rPr>
        <w:t xml:space="preserve">tetap membekukan representasi domain sumber. Ketiga, </w:t>
      </w:r>
      <w:r>
        <w:rPr>
          <w:rFonts w:cs="Times New Roman"/>
          <w:i/>
          <w:iCs/>
        </w:rPr>
        <w:t xml:space="preserve">staged unfreeze </w:t>
      </w:r>
      <w:r>
        <w:rPr>
          <w:rFonts w:cs="Times New Roman"/>
        </w:rPr>
        <w:t xml:space="preserve">menjadi strategi terbaik karena memungkinkan model mempertahankan pengetahuan sumber sekaligus menyesuaikan representasi temporal terhadap karakter lokal target. Dengan demikian, kontribusi utama transfer learning dalam </w:t>
      </w:r>
      <w:r>
        <w:rPr>
          <w:rFonts w:cs="Times New Roman"/>
          <w:i/>
          <w:iCs/>
        </w:rPr>
        <w:t xml:space="preserve">ToMarx </w:t>
      </w:r>
      <w:r>
        <w:rPr>
          <w:rFonts w:cs="Times New Roman"/>
        </w:rPr>
        <w:t>bukan terletak pada kemampuan langsung melakukan prediksi lintas wilayah tanpa adaptasi, melainkan pada kemampuannya mempercepat dan menstabilkan proses adaptasi model ke wilayah target baru.</w:t>
      </w:r>
    </w:p>
    <w:p w14:paraId="7AAA5E0B">
      <w:pPr>
        <w:pStyle w:val="5"/>
        <w:spacing w:before="0" w:after="0"/>
        <w:ind w:firstLine="720"/>
        <w:rPr>
          <w:rFonts w:cs="Times New Roman"/>
        </w:rPr>
      </w:pPr>
      <w:r>
        <w:rPr>
          <w:rFonts w:cs="Times New Roman"/>
        </w:rPr>
        <w:t>Walaupun demikian, hasil pada Padang menunjukkan bahwa</w:t>
      </w:r>
      <w:r>
        <w:rPr>
          <w:rFonts w:cs="Times New Roman"/>
          <w:i/>
          <w:iCs/>
        </w:rPr>
        <w:t xml:space="preserve"> transfer learning </w:t>
      </w:r>
      <w:r>
        <w:rPr>
          <w:rFonts w:cs="Times New Roman"/>
        </w:rPr>
        <w:t>belum sepenuhnya menyelesaikan perbedaan domain pada wilayah ekuatorial basah. Oleh karena itu, hasil penelitian ini tidak diklaim sebagai superior pada seluruh karakter iklim, melainkan sebagai bukti bahwa strategi adaptasi bertahap mampu mengubah model sumber yang gagal pada kondisi</w:t>
      </w:r>
      <w:r>
        <w:rPr>
          <w:rFonts w:cs="Times New Roman"/>
          <w:i/>
          <w:iCs/>
        </w:rPr>
        <w:t xml:space="preserve"> zero-shot </w:t>
      </w:r>
      <w:r>
        <w:rPr>
          <w:rFonts w:cs="Times New Roman"/>
        </w:rPr>
        <w:t xml:space="preserve">menjadi model target yang lebih stabil, sekaligus mengidentifikasi batas generalisasi pada wilayah dengan distribusi curah hujan paling berbeda. </w:t>
      </w:r>
      <w:r>
        <w:rPr>
          <w:rFonts w:cs="Times New Roman"/>
          <w:lang w:val="en-US"/>
        </w:rPr>
        <w:t>Keunggulan</w:t>
      </w:r>
      <w:r>
        <w:rPr>
          <w:rFonts w:cs="Times New Roman"/>
        </w:rPr>
        <w:t xml:space="preserve"> </w:t>
      </w:r>
      <w:r>
        <w:rPr>
          <w:rFonts w:cs="Times New Roman"/>
          <w:iCs/>
        </w:rPr>
        <w:t>ToMarx</w:t>
      </w:r>
      <w:r>
        <w:rPr>
          <w:rFonts w:cs="Times New Roman"/>
          <w:i/>
          <w:iCs/>
        </w:rPr>
        <w:t xml:space="preserve"> </w:t>
      </w:r>
      <w:r>
        <w:rPr>
          <w:rFonts w:cs="Times New Roman"/>
        </w:rPr>
        <w:t xml:space="preserve">atas acuan sederhana tersebut baru konsisten di Ambon, sehingga klaim manfaat transfer learning pada Kupang dan Padang sebaiknya dibaca sebagai perbaikan signifikan atas </w:t>
      </w:r>
      <w:r>
        <w:rPr>
          <w:rFonts w:cs="Times New Roman"/>
          <w:i/>
        </w:rPr>
        <w:t>zero-shot</w:t>
      </w:r>
      <w:r>
        <w:rPr>
          <w:rFonts w:cs="Times New Roman"/>
        </w:rPr>
        <w:t xml:space="preserve">, bukan sebagai kepastian mengungguli seluruh </w:t>
      </w:r>
      <w:r>
        <w:rPr>
          <w:rFonts w:cs="Times New Roman"/>
          <w:i/>
        </w:rPr>
        <w:t>baseline</w:t>
      </w:r>
      <w:r>
        <w:rPr>
          <w:rFonts w:cs="Times New Roman"/>
        </w:rPr>
        <w:t xml:space="preserve"> operasional yang ada.</w:t>
      </w:r>
    </w:p>
    <w:bookmarkEnd w:id="142"/>
    <w:p w14:paraId="74E6BA23">
      <w:pPr>
        <w:pStyle w:val="2"/>
        <w:sectPr>
          <w:pgSz w:w="11906" w:h="16838"/>
          <w:pgMar w:top="1701" w:right="1701" w:bottom="1701" w:left="2275" w:header="708" w:footer="708" w:gutter="0"/>
          <w:cols w:space="708" w:num="1"/>
          <w:titlePg/>
          <w:docGrid w:linePitch="360" w:charSpace="0"/>
        </w:sectPr>
      </w:pPr>
      <w:bookmarkStart w:id="153" w:name="_Toc236076776"/>
      <w:bookmarkStart w:id="154" w:name="Xf7c6aa37cf9fb6aea9c012fb211e010376c0199"/>
    </w:p>
    <w:p w14:paraId="527FD184">
      <w:pPr>
        <w:pStyle w:val="2"/>
      </w:pPr>
      <w:r>
        <w:t>BAB V</w:t>
      </w:r>
      <w:r>
        <w:br w:type="textWrapping"/>
      </w:r>
      <w:r>
        <w:t>PENUTUP</w:t>
      </w:r>
      <w:bookmarkEnd w:id="153"/>
    </w:p>
    <w:p w14:paraId="0C959816">
      <w:pPr>
        <w:pStyle w:val="3"/>
      </w:pPr>
      <w:bookmarkStart w:id="155" w:name="_Toc236076777"/>
      <w:r>
        <w:t>5.1 Kesimpulan</w:t>
      </w:r>
      <w:bookmarkEnd w:id="155"/>
    </w:p>
    <w:p w14:paraId="61F84361">
      <w:pPr>
        <w:ind w:firstLine="720"/>
      </w:pPr>
      <w:r>
        <w:t>Berdasarkan hasil penelitian yang telah dilakukan, diperoleh kesimpulan sebagai berikut.</w:t>
      </w:r>
    </w:p>
    <w:p w14:paraId="0C3DD3B5">
      <w:pPr>
        <w:numPr>
          <w:ilvl w:val="0"/>
          <w:numId w:val="30"/>
        </w:numPr>
        <w:spacing w:beforeAutospacing="1" w:after="0" w:afterAutospacing="1"/>
      </w:pPr>
      <w:r>
        <w:t xml:space="preserve">Algoritma IFPOA-X berhasil dikembangkan dan terbukti efektif dalam menangani ruang pencarian non-konveks pada pengujian fungsi </w:t>
      </w:r>
      <w:r>
        <w:rPr>
          <w:i/>
        </w:rPr>
        <w:t>benchmark</w:t>
      </w:r>
      <w:r>
        <w:t xml:space="preserve">. IFPOA-X menunjukkan kinerja yang lebih baik secara statistik dibandingkan FPA dan PSO. Hasil ablasi menunjukkan bahwa </w:t>
      </w:r>
      <w:r>
        <w:rPr>
          <w:lang w:val="en-US"/>
        </w:rPr>
        <w:t>OBL</w:t>
      </w:r>
      <w:r>
        <w:t xml:space="preserve"> merupakan mekanisme yang paling dominan dalam meningkatkan kualitas pencarian, sedangkan kontribusi UCB1 belum terlihat kuat dan pencarian lokal berbasis JADE belum selalu memberikan peningkatan pada anggaran evaluasi yang terbatas. Pada optimasi </w:t>
      </w:r>
      <w:r>
        <w:rPr>
          <w:i/>
        </w:rPr>
        <w:t>hyperparameter</w:t>
      </w:r>
      <w:r>
        <w:t xml:space="preserve"> model peramalan, IFPOA-X bersifat kompetitif, tetapi tidak unggul secara mutlak pada seluruh arsitektur; efektivitasnya tetap dipengaruhi oleh karakteristik ruang pencarian setiap model.</w:t>
      </w:r>
    </w:p>
    <w:p w14:paraId="3AEF76B5">
      <w:pPr>
        <w:numPr>
          <w:ilvl w:val="0"/>
          <w:numId w:val="30"/>
        </w:numPr>
        <w:spacing w:beforeAutospacing="1" w:after="0" w:afterAutospacing="1"/>
      </w:pPr>
      <w:r>
        <w:rPr>
          <w:i/>
        </w:rPr>
        <w:t>Transfer learning</w:t>
      </w:r>
      <w:r>
        <w:t xml:space="preserve"> memberikan kontribusi terhadap kemampuan adaptasi ToMarx dari wilayah sumber menuju wilayah target dengan pola hujan yang berbeda. Pendekatan </w:t>
      </w:r>
      <w:r>
        <w:rPr>
          <w:i/>
        </w:rPr>
        <w:t>zero-shot</w:t>
      </w:r>
      <w:r>
        <w:t xml:space="preserve"> belum mampu menghasilkan generalisasi yang memadai, sedangkan </w:t>
      </w:r>
      <w:r>
        <w:rPr>
          <w:i/>
        </w:rPr>
        <w:t>fine-tuning</w:t>
      </w:r>
      <w:r>
        <w:t xml:space="preserve"> pada head hanya memberikan perbaikan terbatas. Strategi </w:t>
      </w:r>
      <w:r>
        <w:rPr>
          <w:i/>
        </w:rPr>
        <w:t>staged unfreeze</w:t>
      </w:r>
      <w:r>
        <w:t xml:space="preserve"> menjadi pendekatan terbaik karena memungkinkan model memanfaatkan pengetahuan dari wilayah sumber sekaligus menyesuaikan representasi temporalnya terhadap karakteristik wilayah target. Dengan demikian, </w:t>
      </w:r>
      <w:r>
        <w:rPr>
          <w:i/>
        </w:rPr>
        <w:t>transfer learning</w:t>
      </w:r>
      <w:r>
        <w:t xml:space="preserve"> pada ToMarx lebih tepat diposisikan sebagai strategi adaptasi yang lebih efisien daripada pelatihan model dari kondisi awal untuk setiap wilayah.</w:t>
      </w:r>
    </w:p>
    <w:p w14:paraId="075F04F0">
      <w:pPr>
        <w:numPr>
          <w:ilvl w:val="0"/>
          <w:numId w:val="30"/>
        </w:numPr>
        <w:spacing w:beforeAutospacing="1" w:after="0" w:afterAutospacing="1"/>
      </w:pPr>
      <w:r>
        <w:t xml:space="preserve">Performa ToMarx dalam peramalan curah hujan dasarian belum seragam pada seluruh pola hujan. Pada evaluasi arsitektur di wilayah sumber, </w:t>
      </w:r>
      <w:r>
        <w:rPr>
          <w:i/>
        </w:rPr>
        <w:t>Transformer Encoder-Only</w:t>
      </w:r>
      <w:r>
        <w:t xml:space="preserve"> menunjukkan </w:t>
      </w:r>
      <w:r>
        <w:rPr>
          <w:i/>
        </w:rPr>
        <w:t>trade-off</w:t>
      </w:r>
      <w:r>
        <w:t xml:space="preserve"> yang baik antara akurasi dan efisiensi komputasi karena tetap kompetitif terhadap GRU dengan biaya komputasi yang lebih rendah. Setelah proses </w:t>
      </w:r>
      <w:r>
        <w:rPr>
          <w:i/>
        </w:rPr>
        <w:t>transfer learning</w:t>
      </w:r>
      <w:r>
        <w:t xml:space="preserve">, ToMarx mampu memperbaiki performa dibandingkan kondisi </w:t>
      </w:r>
      <w:r>
        <w:rPr>
          <w:i/>
        </w:rPr>
        <w:t>zero-shot</w:t>
      </w:r>
      <w:r>
        <w:t xml:space="preserve"> dan mengungguli </w:t>
      </w:r>
      <w:r>
        <w:rPr>
          <w:i/>
        </w:rPr>
        <w:t>baseline persistence</w:t>
      </w:r>
      <w:r>
        <w:t xml:space="preserve"> pada seluruh wilayah target. Namun, keunggulannya terhadap </w:t>
      </w:r>
      <w:r>
        <w:rPr>
          <w:i/>
        </w:rPr>
        <w:t>baseline</w:t>
      </w:r>
      <w:r>
        <w:t xml:space="preserve"> klimatologi belum konsisten, khususnya pada Kupang dan Padang. Kinerja terlemah terjadi pada pola hujan ekuatorial Padang, sementara prediksi kejadian hujan ekstrem masih cenderung teredam. Oleh karena itu, ToMarx berpotensi sebagai kerangka peramalan lintas wilayah, tetapi belum dapat diklaim siap untuk diterapkan secara operasional tanpa pengembangan dan validasi lanjutan. </w:t>
      </w:r>
    </w:p>
    <w:p w14:paraId="0FA9E130">
      <w:pPr>
        <w:tabs>
          <w:tab w:val="left" w:pos="720"/>
        </w:tabs>
        <w:spacing w:beforeAutospacing="1" w:after="0" w:afterAutospacing="1"/>
      </w:pPr>
      <w:r>
        <w:tab/>
      </w:r>
      <w:r>
        <w:t>Dengan demikian, kontribusi IFPOA-X tidak hanya terletak pada pencapaian nilai HPO terbaik pada kombinasi tertentu, tetapi juga pada identifikasi batas efektivitas mekanisme hibrida dan penyediaan dasar bagi pengembangan algoritma yang lebih sederhana serta adaptif terhadap budget.</w:t>
      </w:r>
    </w:p>
    <w:p w14:paraId="0330A357">
      <w:pPr>
        <w:pStyle w:val="3"/>
      </w:pPr>
      <w:bookmarkStart w:id="156" w:name="_Toc236076778"/>
      <w:r>
        <w:t>5.2 Saran</w:t>
      </w:r>
      <w:bookmarkEnd w:id="156"/>
    </w:p>
    <w:p w14:paraId="7BF6FD38">
      <w:pPr>
        <w:ind w:firstLine="720"/>
      </w:pPr>
      <w:r>
        <w:t>Berdasarkan keterbatasan penelitian, saran yang dapat diberikan untuk penelitian selanjutnya adalah sebagai berikut.</w:t>
      </w:r>
    </w:p>
    <w:bookmarkEnd w:id="154"/>
    <w:p w14:paraId="4D5D4B86">
      <w:pPr>
        <w:numPr>
          <w:ilvl w:val="0"/>
          <w:numId w:val="31"/>
        </w:numPr>
        <w:spacing w:beforeAutospacing="1" w:after="0" w:afterAutospacing="1"/>
      </w:pPr>
      <w:r>
        <w:t xml:space="preserve">Menambah jumlah wilayah sumber dan target serta memilih wilayah sumber berdasarkan kemiripan karakteristik klimatologis agar kemampuan generalisasi dan proses </w:t>
      </w:r>
      <w:r>
        <w:rPr>
          <w:i/>
        </w:rPr>
        <w:t>transfer learning</w:t>
      </w:r>
      <w:r>
        <w:t xml:space="preserve"> dapat diuji pada kondisi yang lebih beragam.</w:t>
      </w:r>
    </w:p>
    <w:p w14:paraId="0F27401B">
      <w:pPr>
        <w:numPr>
          <w:ilvl w:val="0"/>
          <w:numId w:val="31"/>
        </w:numPr>
        <w:spacing w:beforeAutospacing="1" w:after="0" w:afterAutospacing="1"/>
      </w:pPr>
      <w:r>
        <w:t xml:space="preserve">Membandingkan </w:t>
      </w:r>
      <w:r>
        <w:rPr>
          <w:i/>
        </w:rPr>
        <w:t>staged unfreeze</w:t>
      </w:r>
      <w:r>
        <w:t xml:space="preserve"> dengan pelatihan ulang model target dari awal menggunakan anggaran komputasi yang setara. Pengujian ini diperlukan untuk mengukur secara lebih objektif efisiensi transfer learning terhadap waktu pelatihan dan kebutuhan komputasi.</w:t>
      </w:r>
    </w:p>
    <w:p w14:paraId="6FD2F8EA">
      <w:pPr>
        <w:numPr>
          <w:ilvl w:val="0"/>
          <w:numId w:val="31"/>
        </w:numPr>
        <w:spacing w:beforeAutospacing="1" w:after="0" w:afterAutospacing="1"/>
      </w:pPr>
      <w:r>
        <w:t>Mengembangkan metode yang lebih sensitif terhadap kejadian hujan ekstrem, misalnya melalui pembobotan data curah hujan tinggi, fungsi kerugian yang berorientasi ekstrem, prediksi probabilistik, atau penambahan variabel atmosfer yang lebih relevan.</w:t>
      </w:r>
    </w:p>
    <w:p w14:paraId="0BA41030">
      <w:pPr>
        <w:numPr>
          <w:ilvl w:val="0"/>
          <w:numId w:val="31"/>
        </w:numPr>
        <w:spacing w:beforeAutospacing="1" w:after="0" w:afterAutospacing="1"/>
      </w:pPr>
      <w:r>
        <w:t xml:space="preserve">Menguji IFPOA-X pada fungsi </w:t>
      </w:r>
      <w:r>
        <w:rPr>
          <w:i/>
        </w:rPr>
        <w:t>benchmark</w:t>
      </w:r>
      <w:r>
        <w:t xml:space="preserve"> yang lebih beragam, termasuk fungsi </w:t>
      </w:r>
      <w:r>
        <w:rPr>
          <w:i/>
        </w:rPr>
        <w:t>shifted</w:t>
      </w:r>
      <w:r>
        <w:t xml:space="preserve"> dan </w:t>
      </w:r>
      <w:r>
        <w:rPr>
          <w:i/>
        </w:rPr>
        <w:t>rotated</w:t>
      </w:r>
      <w:r>
        <w:t>, dimensi masalah yang lebih tinggi, serta anggaran evaluasi yang berbeda. Studi ablasi juga perlu dilanjutkan untuk menyempurnakan atau mengganti mekanisme yang belum memberikan kontribusi konsisten.</w:t>
      </w:r>
    </w:p>
    <w:p w14:paraId="2494CD84">
      <w:pPr>
        <w:numPr>
          <w:ilvl w:val="0"/>
          <w:numId w:val="31"/>
        </w:numPr>
        <w:spacing w:before="100" w:beforeAutospacing="1" w:after="100" w:afterAutospacing="1"/>
      </w:pPr>
      <w:r>
        <w:t xml:space="preserve">Mengembangkan varian ringkas IFPOA-X yang memprioritaskan mekanisme OBL sebagai komponen utama. Berdasarkan hasil ablasi, JADE dan UCB1 sebaiknya tidak selalu diaktifkan secara permanen, tetapi diterapkan secara kondisional berdasarkan tingkat diversitas populasi, indikasi stagnasi, dan jumlah budget evaluasi yang tersedia. Varian IFPOA-X-OBL dapat digunakan sebagai </w:t>
      </w:r>
      <w:r>
        <w:rPr>
          <w:i/>
        </w:rPr>
        <w:t>baseline</w:t>
      </w:r>
      <w:r>
        <w:t xml:space="preserve"> untuk menguji apakah algoritma yang lebih sederhana mampu mempertahankan kualitas pencarian dengan biaya komputasi yang lebih rendah.</w:t>
      </w:r>
    </w:p>
    <w:p w14:paraId="08493921">
      <w:pPr>
        <w:numPr>
          <w:ilvl w:val="0"/>
          <w:numId w:val="31"/>
        </w:numPr>
        <w:spacing w:before="100" w:beforeAutospacing="1" w:after="100" w:afterAutospacing="1"/>
      </w:pPr>
      <w:r>
        <w:t xml:space="preserve">Menerapkan IFPOA-X pada permasalahan optimasi yang memiliki evaluasi mahal dan menuntut kompromi antara akurasi, ketahanan, serta biaya komputasi. Penerapan lanjutan dapat mencakup optimasi hyperparameter model prediksi cuaca dan iklim, seleksi fitur atmosfer, </w:t>
      </w:r>
      <w:r>
        <w:rPr>
          <w:i/>
        </w:rPr>
        <w:t>neural architecture search</w:t>
      </w:r>
      <w:r>
        <w:t>, serta kalibrasi model probabilistik. IFPOA-X sebaiknya diposisikan sebagai algoritma alternatif yang kompetitif pada ruang pencarian tertentu, bukan sebagai algoritma yang diasumsikan unggul secara universal.</w:t>
      </w:r>
    </w:p>
    <w:p w14:paraId="300DB98F">
      <w:pPr>
        <w:rPr>
          <w:lang w:val="en-US"/>
        </w:rPr>
      </w:pPr>
    </w:p>
    <w:p w14:paraId="65FB56B5">
      <w:pPr>
        <w:pStyle w:val="2"/>
        <w:sectPr>
          <w:pgSz w:w="11906" w:h="16838"/>
          <w:pgMar w:top="1701" w:right="1701" w:bottom="1701" w:left="2275" w:header="708" w:footer="708" w:gutter="0"/>
          <w:cols w:space="708" w:num="1"/>
          <w:titlePg/>
          <w:docGrid w:linePitch="360" w:charSpace="0"/>
        </w:sectPr>
      </w:pPr>
      <w:bookmarkStart w:id="157" w:name="_Toc236076779"/>
    </w:p>
    <w:p w14:paraId="19947EAA">
      <w:pPr>
        <w:pStyle w:val="2"/>
        <w:spacing w:before="0"/>
      </w:pPr>
      <w:r>
        <w:t>DAFTAR PUSTAKA</w:t>
      </w:r>
      <w:bookmarkEnd w:id="157"/>
    </w:p>
    <w:p w14:paraId="45393942">
      <w:pPr>
        <w:widowControl w:val="0"/>
        <w:autoSpaceDE w:val="0"/>
        <w:autoSpaceDN w:val="0"/>
        <w:adjustRightInd w:val="0"/>
        <w:spacing w:line="240" w:lineRule="auto"/>
        <w:ind w:left="851" w:hanging="851"/>
        <w:rPr>
          <w:rFonts w:cs="Times New Roman"/>
          <w:szCs w:val="24"/>
        </w:rPr>
      </w:pPr>
      <w:r>
        <w:rPr>
          <w:lang w:val="en-US"/>
        </w:rPr>
        <w:fldChar w:fldCharType="begin" w:fldLock="1"/>
      </w:r>
      <w:r>
        <w:rPr>
          <w:lang w:val="en-US"/>
        </w:rPr>
        <w:instrText xml:space="preserve">ADDIN Mendeley Bibliography CSL_BIBLIOGRAPHY </w:instrText>
      </w:r>
      <w:r>
        <w:rPr>
          <w:lang w:val="en-US"/>
        </w:rPr>
        <w:fldChar w:fldCharType="separate"/>
      </w:r>
      <w:r>
        <w:rPr>
          <w:rFonts w:cs="Times New Roman"/>
          <w:szCs w:val="24"/>
        </w:rPr>
        <w:t xml:space="preserve">Abbaspour, S., Barahman, M., Abdollahi, H., Arabalibeik, H., Hajainfar, G., Babaei, M., Iraji, H., Barzegartahamtan, M., Ay, M.R., </w:t>
      </w:r>
      <w:r>
        <w:rPr>
          <w:rFonts w:cs="Times New Roman"/>
          <w:szCs w:val="24"/>
          <w:lang w:val="en-US"/>
        </w:rPr>
        <w:t>and</w:t>
      </w:r>
      <w:r>
        <w:rPr>
          <w:rFonts w:cs="Times New Roman"/>
          <w:szCs w:val="24"/>
        </w:rPr>
        <w:t xml:space="preserve"> Mahdavi, S.R., 2023, Multimodality Radiomics Prediction of Radiotherapy-Induced the Early Proctitis and Cystitis in Rectal Cancer Patients: A Machine Learning Study, </w:t>
      </w:r>
      <w:r>
        <w:rPr>
          <w:rFonts w:cs="Times New Roman"/>
          <w:i/>
          <w:iCs/>
          <w:szCs w:val="24"/>
        </w:rPr>
        <w:t>Biomedical Physics &amp; Engineering Express</w:t>
      </w:r>
      <w:r>
        <w:rPr>
          <w:rFonts w:cs="Times New Roman"/>
          <w:szCs w:val="24"/>
        </w:rPr>
        <w:t>, Vol. 10, no. 1, pp. 15017.</w:t>
      </w:r>
    </w:p>
    <w:p w14:paraId="3F568566">
      <w:pPr>
        <w:widowControl w:val="0"/>
        <w:autoSpaceDE w:val="0"/>
        <w:autoSpaceDN w:val="0"/>
        <w:adjustRightInd w:val="0"/>
        <w:spacing w:line="240" w:lineRule="auto"/>
        <w:ind w:left="851" w:hanging="851"/>
        <w:rPr>
          <w:rFonts w:cs="Times New Roman"/>
          <w:szCs w:val="24"/>
        </w:rPr>
      </w:pPr>
      <w:r>
        <w:rPr>
          <w:rFonts w:cs="Times New Roman"/>
          <w:szCs w:val="24"/>
        </w:rPr>
        <w:t xml:space="preserve">Abdel-Basset, M., dan Shawky, L.A., 2019, </w:t>
      </w:r>
      <w:r>
        <w:rPr>
          <w:rFonts w:cs="Times New Roman"/>
          <w:i/>
          <w:iCs/>
          <w:szCs w:val="24"/>
        </w:rPr>
        <w:t xml:space="preserve">Flower pollination algorithm </w:t>
      </w:r>
      <w:r>
        <w:rPr>
          <w:rFonts w:cs="Times New Roman"/>
          <w:szCs w:val="24"/>
        </w:rPr>
        <w:t>, a comprehensive review , http://www.scopus.com/inward/record.url?scp=85043703779&amp;partnerID=8YFLogxK</w:t>
      </w:r>
      <w:r>
        <w:rPr>
          <w:rFonts w:cs="Times New Roman"/>
          <w:szCs w:val="24"/>
          <w:lang w:val="en-US"/>
        </w:rPr>
        <w:t>, diakses tanggal 11 Januari 2026</w:t>
      </w:r>
      <w:r>
        <w:rPr>
          <w:rFonts w:cs="Times New Roman"/>
          <w:szCs w:val="24"/>
        </w:rPr>
        <w:t>.</w:t>
      </w:r>
    </w:p>
    <w:p w14:paraId="75486D86">
      <w:pPr>
        <w:widowControl w:val="0"/>
        <w:autoSpaceDE w:val="0"/>
        <w:autoSpaceDN w:val="0"/>
        <w:adjustRightInd w:val="0"/>
        <w:spacing w:line="240" w:lineRule="auto"/>
        <w:ind w:left="851" w:hanging="851"/>
        <w:rPr>
          <w:rFonts w:cs="Times New Roman"/>
          <w:szCs w:val="24"/>
        </w:rPr>
      </w:pPr>
      <w:r>
        <w:rPr>
          <w:rFonts w:cs="Times New Roman"/>
          <w:szCs w:val="24"/>
        </w:rPr>
        <w:t xml:space="preserve">Aeni, P., dan Anwar, M.K., 2024, Hydrometeorological Disaster: Challenges and Mitigation in Indonesia, </w:t>
      </w:r>
      <w:r>
        <w:rPr>
          <w:rFonts w:cs="Times New Roman"/>
          <w:i/>
          <w:iCs/>
          <w:szCs w:val="24"/>
        </w:rPr>
        <w:t>Jurnal Indonesia Sosial Teknologi</w:t>
      </w:r>
      <w:r>
        <w:rPr>
          <w:rFonts w:cs="Times New Roman"/>
          <w:szCs w:val="24"/>
        </w:rPr>
        <w:t>.</w:t>
      </w:r>
    </w:p>
    <w:p w14:paraId="769E94DA">
      <w:pPr>
        <w:widowControl w:val="0"/>
        <w:autoSpaceDE w:val="0"/>
        <w:autoSpaceDN w:val="0"/>
        <w:adjustRightInd w:val="0"/>
        <w:spacing w:line="240" w:lineRule="auto"/>
        <w:ind w:left="851" w:hanging="851"/>
        <w:rPr>
          <w:rFonts w:cs="Times New Roman"/>
          <w:szCs w:val="24"/>
        </w:rPr>
      </w:pPr>
      <w:r>
        <w:rPr>
          <w:rFonts w:cs="Times New Roman"/>
          <w:szCs w:val="24"/>
        </w:rPr>
        <w:t xml:space="preserve">Aji, T.W., dan Aji, T.W., 2026, </w:t>
      </w:r>
      <w:r>
        <w:rPr>
          <w:rFonts w:cs="Times New Roman"/>
          <w:i/>
          <w:iCs/>
          <w:szCs w:val="24"/>
        </w:rPr>
        <w:t>tonny2305/obl-origin-bias-audit: v1.0.0 — OBL Origin-Bias Audit Reproducibility Package</w:t>
      </w:r>
      <w:r>
        <w:rPr>
          <w:rFonts w:cs="Times New Roman"/>
          <w:szCs w:val="24"/>
        </w:rPr>
        <w:t>, Zenodo, https://doi.org/10.5281/zenodo.21331630.</w:t>
      </w:r>
    </w:p>
    <w:p w14:paraId="3CC1740B">
      <w:pPr>
        <w:widowControl w:val="0"/>
        <w:autoSpaceDE w:val="0"/>
        <w:autoSpaceDN w:val="0"/>
        <w:adjustRightInd w:val="0"/>
        <w:spacing w:line="240" w:lineRule="auto"/>
        <w:ind w:left="851" w:hanging="851"/>
        <w:rPr>
          <w:rFonts w:cs="Times New Roman"/>
          <w:szCs w:val="24"/>
        </w:rPr>
      </w:pPr>
      <w:r>
        <w:rPr>
          <w:rFonts w:cs="Times New Roman"/>
          <w:szCs w:val="24"/>
        </w:rPr>
        <w:t xml:space="preserve">Aldrian, E., dan Dwi Susanto, R., 2003, Identification of three dominant rainfall regions within Indonesia and their relationship to sea surface temperature, </w:t>
      </w:r>
      <w:r>
        <w:rPr>
          <w:rFonts w:cs="Times New Roman"/>
          <w:i/>
          <w:iCs/>
          <w:szCs w:val="24"/>
        </w:rPr>
        <w:t>International Journal of Climatology</w:t>
      </w:r>
      <w:r>
        <w:rPr>
          <w:rFonts w:cs="Times New Roman"/>
          <w:szCs w:val="24"/>
        </w:rPr>
        <w:t>, Vol. 23, no. 12, pp. 1435–1452, John Wiley &amp; Sons, Ltd.</w:t>
      </w:r>
    </w:p>
    <w:p w14:paraId="648DA5C8">
      <w:pPr>
        <w:widowControl w:val="0"/>
        <w:autoSpaceDE w:val="0"/>
        <w:autoSpaceDN w:val="0"/>
        <w:adjustRightInd w:val="0"/>
        <w:spacing w:line="240" w:lineRule="auto"/>
        <w:ind w:left="851" w:hanging="851"/>
        <w:rPr>
          <w:rFonts w:cs="Times New Roman"/>
          <w:szCs w:val="24"/>
        </w:rPr>
      </w:pPr>
      <w:r>
        <w:rPr>
          <w:rFonts w:cs="Times New Roman"/>
          <w:szCs w:val="24"/>
        </w:rPr>
        <w:t xml:space="preserve">Alduchov, O.A., </w:t>
      </w:r>
      <w:r>
        <w:rPr>
          <w:rFonts w:cs="Times New Roman"/>
          <w:szCs w:val="24"/>
          <w:lang w:val="en-US"/>
        </w:rPr>
        <w:t>and</w:t>
      </w:r>
      <w:r>
        <w:rPr>
          <w:rFonts w:cs="Times New Roman"/>
          <w:szCs w:val="24"/>
        </w:rPr>
        <w:t xml:space="preserve"> Eskridge, R.E., 1996, Improved Magnus Form Approximation of Saturation Vapor Pressure, </w:t>
      </w:r>
      <w:r>
        <w:rPr>
          <w:rFonts w:cs="Times New Roman"/>
          <w:i/>
          <w:iCs/>
          <w:szCs w:val="24"/>
        </w:rPr>
        <w:t>Journal of Applied Meteorology</w:t>
      </w:r>
      <w:r>
        <w:rPr>
          <w:rFonts w:cs="Times New Roman"/>
          <w:szCs w:val="24"/>
        </w:rPr>
        <w:t>, Vol. 35, no. 4, pp. 601–609.</w:t>
      </w:r>
    </w:p>
    <w:p w14:paraId="291DD70E">
      <w:pPr>
        <w:widowControl w:val="0"/>
        <w:autoSpaceDE w:val="0"/>
        <w:autoSpaceDN w:val="0"/>
        <w:adjustRightInd w:val="0"/>
        <w:spacing w:line="240" w:lineRule="auto"/>
        <w:ind w:left="851" w:hanging="851"/>
        <w:rPr>
          <w:rFonts w:cs="Times New Roman"/>
          <w:szCs w:val="24"/>
        </w:rPr>
      </w:pPr>
      <w:r>
        <w:rPr>
          <w:rFonts w:cs="Times New Roman"/>
          <w:szCs w:val="24"/>
        </w:rPr>
        <w:t xml:space="preserve">Alyasseri, Z., Khader, A.T., Al-Betar, M., Awadallah, M., </w:t>
      </w:r>
      <w:r>
        <w:rPr>
          <w:rFonts w:cs="Times New Roman"/>
          <w:szCs w:val="24"/>
          <w:lang w:val="en-US"/>
        </w:rPr>
        <w:t>and</w:t>
      </w:r>
      <w:r>
        <w:rPr>
          <w:rFonts w:cs="Times New Roman"/>
          <w:szCs w:val="24"/>
        </w:rPr>
        <w:t xml:space="preserve"> Yang, X.-S., 2018, Variants of the Flower Pollination Algorithm: A Review, dalam </w:t>
      </w:r>
      <w:r>
        <w:rPr>
          <w:rFonts w:cs="Times New Roman"/>
          <w:i/>
          <w:iCs/>
          <w:szCs w:val="24"/>
        </w:rPr>
        <w:t>Studies in Computational Intelligence</w:t>
      </w:r>
      <w:r>
        <w:rPr>
          <w:rFonts w:cs="Times New Roman"/>
          <w:szCs w:val="24"/>
        </w:rPr>
        <w:t>, pp. 91–118.</w:t>
      </w:r>
    </w:p>
    <w:p w14:paraId="78CFEF0D">
      <w:pPr>
        <w:widowControl w:val="0"/>
        <w:autoSpaceDE w:val="0"/>
        <w:autoSpaceDN w:val="0"/>
        <w:adjustRightInd w:val="0"/>
        <w:spacing w:line="240" w:lineRule="auto"/>
        <w:ind w:left="851" w:hanging="851"/>
        <w:rPr>
          <w:rFonts w:cs="Times New Roman"/>
          <w:szCs w:val="24"/>
        </w:rPr>
      </w:pPr>
      <w:r>
        <w:rPr>
          <w:rFonts w:cs="Times New Roman"/>
          <w:szCs w:val="24"/>
        </w:rPr>
        <w:t xml:space="preserve">Arrizal, H.H., Azizah, L.M., Sinambela, M., Wastumirad, A.W., Nardi, </w:t>
      </w:r>
      <w:r>
        <w:rPr>
          <w:rFonts w:cs="Times New Roman"/>
          <w:szCs w:val="24"/>
          <w:lang w:val="en-US"/>
        </w:rPr>
        <w:t>dan</w:t>
      </w:r>
      <w:r>
        <w:rPr>
          <w:rFonts w:cs="Times New Roman"/>
          <w:szCs w:val="24"/>
        </w:rPr>
        <w:t xml:space="preserve"> Susanto, C.O.N., 2025, Climate Feature Impact on Rainfall Prediction Using Recurrent Neural Networks: Comparative Analysis of AUSMI and ENSO Predictors in Central, </w:t>
      </w:r>
      <w:r>
        <w:rPr>
          <w:rFonts w:cs="Times New Roman"/>
          <w:i/>
          <w:iCs/>
          <w:szCs w:val="24"/>
        </w:rPr>
        <w:t>2025 5th International Conference on Electronic and Electrical Engineering and Intelligent System (ICE3IS)</w:t>
      </w:r>
      <w:r>
        <w:rPr>
          <w:rFonts w:cs="Times New Roman"/>
          <w:szCs w:val="24"/>
        </w:rPr>
        <w:t>, pp. 430–435.</w:t>
      </w:r>
    </w:p>
    <w:p w14:paraId="5C12C40D">
      <w:pPr>
        <w:widowControl w:val="0"/>
        <w:autoSpaceDE w:val="0"/>
        <w:autoSpaceDN w:val="0"/>
        <w:adjustRightInd w:val="0"/>
        <w:spacing w:line="240" w:lineRule="auto"/>
        <w:ind w:left="851" w:hanging="851"/>
        <w:rPr>
          <w:rFonts w:cs="Times New Roman"/>
          <w:szCs w:val="24"/>
        </w:rPr>
      </w:pPr>
      <w:r>
        <w:rPr>
          <w:rFonts w:cs="Times New Roman"/>
          <w:szCs w:val="24"/>
        </w:rPr>
        <w:t xml:space="preserve">Assad, A., </w:t>
      </w:r>
      <w:r>
        <w:rPr>
          <w:rFonts w:cs="Times New Roman"/>
          <w:szCs w:val="24"/>
          <w:lang w:val="en-US"/>
        </w:rPr>
        <w:t>and</w:t>
      </w:r>
      <w:r>
        <w:rPr>
          <w:rFonts w:cs="Times New Roman"/>
          <w:szCs w:val="24"/>
        </w:rPr>
        <w:t xml:space="preserve"> Deep, K., 2017, A Two‐phase Harmony Search Algorithm for Continuous Optimization, </w:t>
      </w:r>
      <w:r>
        <w:rPr>
          <w:rFonts w:cs="Times New Roman"/>
          <w:i/>
          <w:iCs/>
          <w:szCs w:val="24"/>
        </w:rPr>
        <w:t>Computational Intelligence</w:t>
      </w:r>
      <w:r>
        <w:rPr>
          <w:rFonts w:cs="Times New Roman"/>
          <w:szCs w:val="24"/>
        </w:rPr>
        <w:t>, Vol. 33, no. 4, pp. 1038–1075.</w:t>
      </w:r>
    </w:p>
    <w:p w14:paraId="56F80A27">
      <w:pPr>
        <w:widowControl w:val="0"/>
        <w:autoSpaceDE w:val="0"/>
        <w:autoSpaceDN w:val="0"/>
        <w:adjustRightInd w:val="0"/>
        <w:spacing w:line="240" w:lineRule="auto"/>
        <w:ind w:left="851" w:hanging="851"/>
        <w:rPr>
          <w:rFonts w:cs="Times New Roman"/>
          <w:szCs w:val="24"/>
        </w:rPr>
      </w:pPr>
      <w:r>
        <w:rPr>
          <w:rFonts w:cs="Times New Roman"/>
          <w:szCs w:val="24"/>
        </w:rPr>
        <w:t xml:space="preserve">Bai, Q., Agarwal, M., </w:t>
      </w:r>
      <w:r>
        <w:rPr>
          <w:rFonts w:cs="Times New Roman"/>
          <w:szCs w:val="24"/>
          <w:lang w:val="en-US"/>
        </w:rPr>
        <w:t>and</w:t>
      </w:r>
      <w:r>
        <w:rPr>
          <w:rFonts w:cs="Times New Roman"/>
          <w:szCs w:val="24"/>
        </w:rPr>
        <w:t xml:space="preserve"> Aggarwal, V., 2019, Escaping Saddle Points for Zeroth-Order Nonconvex Optimization Using Estimated Gradient Descent, .</w:t>
      </w:r>
    </w:p>
    <w:p w14:paraId="04AA556F">
      <w:pPr>
        <w:widowControl w:val="0"/>
        <w:autoSpaceDE w:val="0"/>
        <w:autoSpaceDN w:val="0"/>
        <w:adjustRightInd w:val="0"/>
        <w:spacing w:line="240" w:lineRule="auto"/>
        <w:ind w:left="851" w:hanging="851"/>
        <w:rPr>
          <w:rFonts w:cs="Times New Roman"/>
          <w:szCs w:val="24"/>
        </w:rPr>
      </w:pPr>
      <w:r>
        <w:rPr>
          <w:rFonts w:cs="Times New Roman"/>
          <w:szCs w:val="24"/>
        </w:rPr>
        <w:t xml:space="preserve">Blanchard, P., Higham, D.J., </w:t>
      </w:r>
      <w:r>
        <w:rPr>
          <w:rFonts w:cs="Times New Roman"/>
          <w:szCs w:val="24"/>
          <w:lang w:val="en-US"/>
        </w:rPr>
        <w:t>and</w:t>
      </w:r>
      <w:r>
        <w:rPr>
          <w:rFonts w:cs="Times New Roman"/>
          <w:szCs w:val="24"/>
        </w:rPr>
        <w:t xml:space="preserve"> Higham, N.J., 2020, Accurately Computing the Log-Sum-Exp and Softmax Functions, </w:t>
      </w:r>
      <w:r>
        <w:rPr>
          <w:rFonts w:cs="Times New Roman"/>
          <w:i/>
          <w:iCs/>
          <w:szCs w:val="24"/>
        </w:rPr>
        <w:t>Ima Journal of Numerical Analysis</w:t>
      </w:r>
      <w:r>
        <w:rPr>
          <w:rFonts w:cs="Times New Roman"/>
          <w:szCs w:val="24"/>
        </w:rPr>
        <w:t>, Vol. 41, no. 4, pp. 2311–2330.</w:t>
      </w:r>
    </w:p>
    <w:p w14:paraId="159C3FF2">
      <w:pPr>
        <w:widowControl w:val="0"/>
        <w:autoSpaceDE w:val="0"/>
        <w:autoSpaceDN w:val="0"/>
        <w:adjustRightInd w:val="0"/>
        <w:spacing w:line="240" w:lineRule="auto"/>
        <w:ind w:left="851" w:hanging="851"/>
        <w:rPr>
          <w:rFonts w:cs="Times New Roman"/>
          <w:szCs w:val="24"/>
        </w:rPr>
      </w:pPr>
      <w:r>
        <w:rPr>
          <w:rFonts w:cs="Times New Roman"/>
          <w:szCs w:val="24"/>
        </w:rPr>
        <w:t xml:space="preserve">BMKG, 2021, </w:t>
      </w:r>
      <w:r>
        <w:rPr>
          <w:rFonts w:cs="Times New Roman"/>
          <w:i/>
          <w:iCs/>
          <w:szCs w:val="24"/>
        </w:rPr>
        <w:t>Prakiraan Iklim Dasarian Indonesia</w:t>
      </w:r>
      <w:r>
        <w:rPr>
          <w:rFonts w:cs="Times New Roman"/>
          <w:szCs w:val="24"/>
        </w:rPr>
        <w:t>, BMKG, Jakarta.</w:t>
      </w:r>
    </w:p>
    <w:p w14:paraId="264DD85E">
      <w:pPr>
        <w:widowControl w:val="0"/>
        <w:autoSpaceDE w:val="0"/>
        <w:autoSpaceDN w:val="0"/>
        <w:adjustRightInd w:val="0"/>
        <w:spacing w:line="240" w:lineRule="auto"/>
        <w:ind w:left="851" w:hanging="851"/>
        <w:rPr>
          <w:rFonts w:cs="Times New Roman"/>
          <w:szCs w:val="24"/>
        </w:rPr>
      </w:pPr>
      <w:r>
        <w:rPr>
          <w:rFonts w:cs="Times New Roman"/>
          <w:szCs w:val="24"/>
        </w:rPr>
        <w:t xml:space="preserve">Chin, S., </w:t>
      </w:r>
      <w:r>
        <w:rPr>
          <w:rFonts w:cs="Times New Roman"/>
          <w:szCs w:val="24"/>
          <w:lang w:val="en-US"/>
        </w:rPr>
        <w:t>and</w:t>
      </w:r>
      <w:r>
        <w:rPr>
          <w:rFonts w:cs="Times New Roman"/>
          <w:szCs w:val="24"/>
        </w:rPr>
        <w:t xml:space="preserve"> Lloyd, V., 2024, Predicting Climate Change Using an Autoregressive Long Short-Term Memory Model, </w:t>
      </w:r>
      <w:r>
        <w:rPr>
          <w:rFonts w:cs="Times New Roman"/>
          <w:i/>
          <w:iCs/>
          <w:szCs w:val="24"/>
        </w:rPr>
        <w:t>Frontiers in Environmental Science</w:t>
      </w:r>
      <w:r>
        <w:rPr>
          <w:rFonts w:cs="Times New Roman"/>
          <w:szCs w:val="24"/>
        </w:rPr>
        <w:t>, Vol. 12.</w:t>
      </w:r>
    </w:p>
    <w:p w14:paraId="1372637F">
      <w:pPr>
        <w:widowControl w:val="0"/>
        <w:autoSpaceDE w:val="0"/>
        <w:autoSpaceDN w:val="0"/>
        <w:adjustRightInd w:val="0"/>
        <w:spacing w:line="240" w:lineRule="auto"/>
        <w:ind w:left="851" w:hanging="851"/>
        <w:rPr>
          <w:rFonts w:cs="Times New Roman"/>
          <w:szCs w:val="24"/>
        </w:rPr>
      </w:pPr>
      <w:r>
        <w:rPr>
          <w:rFonts w:cs="Times New Roman"/>
          <w:szCs w:val="24"/>
        </w:rPr>
        <w:t xml:space="preserve">Darmawan, G., Handoko, B., Faidah, D.Y., dan Islamiaty, D., 2023, Improving the Forecasting Accuracy Based on the Lunar Calendar in Modeling Rainfall Levels Using the Bi-LSTM Method Through the Grid Search Approach, </w:t>
      </w:r>
      <w:r>
        <w:rPr>
          <w:rFonts w:cs="Times New Roman"/>
          <w:i/>
          <w:iCs/>
          <w:szCs w:val="24"/>
        </w:rPr>
        <w:t>The Scientific World Journal</w:t>
      </w:r>
      <w:r>
        <w:rPr>
          <w:rFonts w:cs="Times New Roman"/>
          <w:szCs w:val="24"/>
        </w:rPr>
        <w:t>, Vol. 2023, pp. 1–8.</w:t>
      </w:r>
    </w:p>
    <w:p w14:paraId="265FAE58">
      <w:pPr>
        <w:widowControl w:val="0"/>
        <w:autoSpaceDE w:val="0"/>
        <w:autoSpaceDN w:val="0"/>
        <w:adjustRightInd w:val="0"/>
        <w:spacing w:line="240" w:lineRule="auto"/>
        <w:ind w:left="851" w:hanging="851"/>
        <w:rPr>
          <w:rFonts w:cs="Times New Roman"/>
          <w:szCs w:val="24"/>
        </w:rPr>
      </w:pPr>
      <w:r>
        <w:rPr>
          <w:rFonts w:cs="Times New Roman"/>
          <w:szCs w:val="24"/>
        </w:rPr>
        <w:t xml:space="preserve">Eggensperger, K., Müller, P., Mallik, N., Feurer, M., Sass, R., Klein, A., Awad, N., Lindauer, M., </w:t>
      </w:r>
      <w:r>
        <w:rPr>
          <w:rFonts w:cs="Times New Roman"/>
          <w:szCs w:val="24"/>
          <w:lang w:val="en-US"/>
        </w:rPr>
        <w:t>and</w:t>
      </w:r>
      <w:r>
        <w:rPr>
          <w:rFonts w:cs="Times New Roman"/>
          <w:szCs w:val="24"/>
        </w:rPr>
        <w:t xml:space="preserve"> Hutter, F., 2021, HPOBench: A Collection of Reproducible Multi-Fidelity Benchmark Problems for HPO, .</w:t>
      </w:r>
    </w:p>
    <w:p w14:paraId="3FB02A14">
      <w:pPr>
        <w:widowControl w:val="0"/>
        <w:autoSpaceDE w:val="0"/>
        <w:autoSpaceDN w:val="0"/>
        <w:adjustRightInd w:val="0"/>
        <w:spacing w:line="240" w:lineRule="auto"/>
        <w:ind w:left="851" w:hanging="851"/>
        <w:rPr>
          <w:rFonts w:cs="Times New Roman"/>
          <w:szCs w:val="24"/>
        </w:rPr>
      </w:pPr>
      <w:r>
        <w:rPr>
          <w:rFonts w:cs="Times New Roman"/>
          <w:szCs w:val="24"/>
        </w:rPr>
        <w:t xml:space="preserve">Endalie, D., Haile, G., </w:t>
      </w:r>
      <w:r>
        <w:rPr>
          <w:rFonts w:cs="Times New Roman"/>
          <w:szCs w:val="24"/>
          <w:lang w:val="en-US"/>
        </w:rPr>
        <w:t>and</w:t>
      </w:r>
      <w:r>
        <w:rPr>
          <w:rFonts w:cs="Times New Roman"/>
          <w:szCs w:val="24"/>
        </w:rPr>
        <w:t xml:space="preserve"> Taye, W., 2021, Deep Learning Model for Daily Rainfall Prediction: Case Study of Jimma, Ethiopia, </w:t>
      </w:r>
      <w:r>
        <w:rPr>
          <w:rFonts w:cs="Times New Roman"/>
          <w:i/>
          <w:iCs/>
          <w:szCs w:val="24"/>
        </w:rPr>
        <w:t>Water Supply</w:t>
      </w:r>
      <w:r>
        <w:rPr>
          <w:rFonts w:cs="Times New Roman"/>
          <w:szCs w:val="24"/>
        </w:rPr>
        <w:t>, Vol. 22, no. 3, pp. 3448–3461.</w:t>
      </w:r>
    </w:p>
    <w:p w14:paraId="644B1F60">
      <w:pPr>
        <w:widowControl w:val="0"/>
        <w:autoSpaceDE w:val="0"/>
        <w:autoSpaceDN w:val="0"/>
        <w:adjustRightInd w:val="0"/>
        <w:spacing w:line="240" w:lineRule="auto"/>
        <w:ind w:left="851" w:hanging="851"/>
        <w:rPr>
          <w:rFonts w:cs="Times New Roman"/>
          <w:szCs w:val="24"/>
        </w:rPr>
      </w:pPr>
      <w:r>
        <w:rPr>
          <w:rFonts w:cs="Times New Roman"/>
          <w:szCs w:val="24"/>
        </w:rPr>
        <w:t xml:space="preserve">Farisi, I., </w:t>
      </w:r>
      <w:r>
        <w:rPr>
          <w:rFonts w:cs="Times New Roman"/>
          <w:szCs w:val="24"/>
          <w:lang w:val="en-US"/>
        </w:rPr>
        <w:t>and</w:t>
      </w:r>
      <w:r>
        <w:rPr>
          <w:rFonts w:cs="Times New Roman"/>
          <w:szCs w:val="24"/>
        </w:rPr>
        <w:t xml:space="preserve"> Hardjianto, M., 2024, Long Short-Term Memory Optimization Using Hybrid Sparrow Search Algorithm and Particle Swarm Optimization in Prediction of Water Level at Sluice Gates, </w:t>
      </w:r>
      <w:r>
        <w:rPr>
          <w:rFonts w:cs="Times New Roman"/>
          <w:i/>
          <w:iCs/>
          <w:szCs w:val="24"/>
        </w:rPr>
        <w:t>Astonjadro</w:t>
      </w:r>
      <w:r>
        <w:rPr>
          <w:rFonts w:cs="Times New Roman"/>
          <w:szCs w:val="24"/>
        </w:rPr>
        <w:t>, Vol. 13, no. 2, pp. 614–626.</w:t>
      </w:r>
    </w:p>
    <w:p w14:paraId="30FF851C">
      <w:pPr>
        <w:widowControl w:val="0"/>
        <w:autoSpaceDE w:val="0"/>
        <w:autoSpaceDN w:val="0"/>
        <w:adjustRightInd w:val="0"/>
        <w:spacing w:line="240" w:lineRule="auto"/>
        <w:ind w:left="851" w:hanging="851"/>
        <w:rPr>
          <w:rFonts w:cs="Times New Roman"/>
          <w:szCs w:val="24"/>
        </w:rPr>
      </w:pPr>
      <w:r>
        <w:rPr>
          <w:rFonts w:cs="Times New Roman"/>
          <w:szCs w:val="24"/>
        </w:rPr>
        <w:t xml:space="preserve">Feng, Y., </w:t>
      </w:r>
      <w:r>
        <w:rPr>
          <w:rFonts w:cs="Times New Roman"/>
          <w:szCs w:val="24"/>
          <w:lang w:val="en-US"/>
        </w:rPr>
        <w:t>and</w:t>
      </w:r>
      <w:r>
        <w:rPr>
          <w:rFonts w:cs="Times New Roman"/>
          <w:szCs w:val="24"/>
        </w:rPr>
        <w:t xml:space="preserve"> Tu, Y., 2021, The Inverse Variance–flatness Relation in Stochastic Gradient Descent Is Critical for Finding Flat Minima, </w:t>
      </w:r>
      <w:r>
        <w:rPr>
          <w:rFonts w:cs="Times New Roman"/>
          <w:i/>
          <w:iCs/>
          <w:szCs w:val="24"/>
        </w:rPr>
        <w:t>Proceedings of the National Academy of Sciences</w:t>
      </w:r>
      <w:r>
        <w:rPr>
          <w:rFonts w:cs="Times New Roman"/>
          <w:szCs w:val="24"/>
        </w:rPr>
        <w:t>, Vol. 118, no. 9.</w:t>
      </w:r>
    </w:p>
    <w:p w14:paraId="55A257D7">
      <w:pPr>
        <w:widowControl w:val="0"/>
        <w:autoSpaceDE w:val="0"/>
        <w:autoSpaceDN w:val="0"/>
        <w:adjustRightInd w:val="0"/>
        <w:spacing w:line="240" w:lineRule="auto"/>
        <w:ind w:left="851" w:hanging="851"/>
        <w:rPr>
          <w:rFonts w:cs="Times New Roman"/>
          <w:szCs w:val="24"/>
        </w:rPr>
      </w:pPr>
      <w:r>
        <w:rPr>
          <w:rFonts w:cs="Times New Roman"/>
          <w:szCs w:val="24"/>
        </w:rPr>
        <w:t xml:space="preserve">Gergis, J., </w:t>
      </w:r>
      <w:r>
        <w:rPr>
          <w:rFonts w:cs="Times New Roman"/>
          <w:szCs w:val="24"/>
          <w:lang w:val="en-US"/>
        </w:rPr>
        <w:t>and</w:t>
      </w:r>
      <w:r>
        <w:rPr>
          <w:rFonts w:cs="Times New Roman"/>
          <w:szCs w:val="24"/>
        </w:rPr>
        <w:t xml:space="preserve"> Ashcroft, L., 2012, Rainfall Variations in South‐eastern Australia Part 2: A Comparison of Documentary, Early Instrumental and Palaeoclimate Records, 1788–2008, </w:t>
      </w:r>
      <w:r>
        <w:rPr>
          <w:rFonts w:cs="Times New Roman"/>
          <w:i/>
          <w:iCs/>
          <w:szCs w:val="24"/>
        </w:rPr>
        <w:t>International Journal of Climatology</w:t>
      </w:r>
      <w:r>
        <w:rPr>
          <w:rFonts w:cs="Times New Roman"/>
          <w:szCs w:val="24"/>
        </w:rPr>
        <w:t>, Vol. 33, no. 14, pp. 2973–2987.</w:t>
      </w:r>
    </w:p>
    <w:p w14:paraId="5010B6AF">
      <w:pPr>
        <w:widowControl w:val="0"/>
        <w:autoSpaceDE w:val="0"/>
        <w:autoSpaceDN w:val="0"/>
        <w:adjustRightInd w:val="0"/>
        <w:spacing w:line="240" w:lineRule="auto"/>
        <w:ind w:left="851" w:hanging="851"/>
        <w:rPr>
          <w:rFonts w:cs="Times New Roman"/>
          <w:szCs w:val="24"/>
        </w:rPr>
      </w:pPr>
      <w:r>
        <w:rPr>
          <w:rFonts w:cs="Times New Roman"/>
          <w:szCs w:val="24"/>
        </w:rPr>
        <w:t xml:space="preserve">Giarno, G., Hadi, M.P., Suprayogi, S., </w:t>
      </w:r>
      <w:r>
        <w:rPr>
          <w:rFonts w:cs="Times New Roman"/>
          <w:szCs w:val="24"/>
          <w:lang w:val="en-US"/>
        </w:rPr>
        <w:t>and</w:t>
      </w:r>
      <w:r>
        <w:rPr>
          <w:rFonts w:cs="Times New Roman"/>
          <w:szCs w:val="24"/>
        </w:rPr>
        <w:t xml:space="preserve"> Murti, S.H., 2018, Distribution of Accuracy of TRMM Daily Rainfall in Makassar Strait, </w:t>
      </w:r>
      <w:r>
        <w:rPr>
          <w:rFonts w:cs="Times New Roman"/>
          <w:i/>
          <w:iCs/>
          <w:szCs w:val="24"/>
        </w:rPr>
        <w:t>Forum Geografi</w:t>
      </w:r>
      <w:r>
        <w:rPr>
          <w:rFonts w:cs="Times New Roman"/>
          <w:szCs w:val="24"/>
        </w:rPr>
        <w:t>, Vol. 32, no. 1, pp. 38–52.</w:t>
      </w:r>
    </w:p>
    <w:p w14:paraId="2C3D40C6">
      <w:pPr>
        <w:widowControl w:val="0"/>
        <w:autoSpaceDE w:val="0"/>
        <w:autoSpaceDN w:val="0"/>
        <w:adjustRightInd w:val="0"/>
        <w:spacing w:line="240" w:lineRule="auto"/>
        <w:ind w:left="851" w:hanging="851"/>
        <w:rPr>
          <w:rFonts w:cs="Times New Roman"/>
          <w:szCs w:val="24"/>
        </w:rPr>
      </w:pPr>
      <w:r>
        <w:rPr>
          <w:rFonts w:cs="Times New Roman"/>
          <w:szCs w:val="24"/>
        </w:rPr>
        <w:t xml:space="preserve">Giarno, N., Ruslana, Z.N., Rachmawardhani, A., Rais, A.F., Didiharyono, N., Sunusi, N., </w:t>
      </w:r>
      <w:r>
        <w:rPr>
          <w:rFonts w:cs="Times New Roman"/>
          <w:szCs w:val="24"/>
          <w:lang w:val="en-US"/>
        </w:rPr>
        <w:t>and</w:t>
      </w:r>
      <w:r>
        <w:rPr>
          <w:rFonts w:cs="Times New Roman"/>
          <w:szCs w:val="24"/>
        </w:rPr>
        <w:t xml:space="preserve"> Syafie, L., 2023, Changing of Return Periods of Extreme Rainfall Using Satellite Observation in Java Island, </w:t>
      </w:r>
      <w:r>
        <w:rPr>
          <w:rFonts w:cs="Times New Roman"/>
          <w:i/>
          <w:iCs/>
          <w:szCs w:val="24"/>
        </w:rPr>
        <w:t>E3S Web of Conferences</w:t>
      </w:r>
      <w:r>
        <w:rPr>
          <w:rFonts w:cs="Times New Roman"/>
          <w:szCs w:val="24"/>
        </w:rPr>
        <w:t>, Vol. 464, pp. 11005.</w:t>
      </w:r>
    </w:p>
    <w:p w14:paraId="44EAC6AB">
      <w:pPr>
        <w:widowControl w:val="0"/>
        <w:autoSpaceDE w:val="0"/>
        <w:autoSpaceDN w:val="0"/>
        <w:adjustRightInd w:val="0"/>
        <w:spacing w:line="240" w:lineRule="auto"/>
        <w:ind w:left="851" w:hanging="851"/>
        <w:rPr>
          <w:rFonts w:cs="Times New Roman"/>
          <w:szCs w:val="24"/>
        </w:rPr>
      </w:pPr>
      <w:r>
        <w:rPr>
          <w:rFonts w:cs="Times New Roman"/>
          <w:szCs w:val="24"/>
        </w:rPr>
        <w:t xml:space="preserve">van der Heijden, T., Mendoza‐Lugo, M.A., Palensky, P., van de Giesen, N., </w:t>
      </w:r>
      <w:r>
        <w:rPr>
          <w:rFonts w:cs="Times New Roman"/>
          <w:szCs w:val="24"/>
          <w:lang w:val="en-US"/>
        </w:rPr>
        <w:t>and</w:t>
      </w:r>
      <w:r>
        <w:rPr>
          <w:rFonts w:cs="Times New Roman"/>
          <w:szCs w:val="24"/>
        </w:rPr>
        <w:t xml:space="preserve"> Abraham, E., 2025, Incorporating Risk in Operational Water Resources Management: Probabilistic Forecasting, Scenario Generation, and Optimal Control, </w:t>
      </w:r>
      <w:r>
        <w:rPr>
          <w:rFonts w:cs="Times New Roman"/>
          <w:i/>
          <w:iCs/>
          <w:szCs w:val="24"/>
        </w:rPr>
        <w:t>Water Resources Research</w:t>
      </w:r>
      <w:r>
        <w:rPr>
          <w:rFonts w:cs="Times New Roman"/>
          <w:szCs w:val="24"/>
        </w:rPr>
        <w:t>, Vol. 61, no. 3.</w:t>
      </w:r>
    </w:p>
    <w:p w14:paraId="7DD466AF">
      <w:pPr>
        <w:widowControl w:val="0"/>
        <w:autoSpaceDE w:val="0"/>
        <w:autoSpaceDN w:val="0"/>
        <w:adjustRightInd w:val="0"/>
        <w:spacing w:line="240" w:lineRule="auto"/>
        <w:ind w:left="851" w:hanging="851"/>
        <w:rPr>
          <w:rFonts w:cs="Times New Roman"/>
          <w:szCs w:val="24"/>
        </w:rPr>
      </w:pPr>
      <w:r>
        <w:rPr>
          <w:rFonts w:cs="Times New Roman"/>
          <w:szCs w:val="24"/>
        </w:rPr>
        <w:t xml:space="preserve">Hong, Y.-Y., Beltran, A.A., </w:t>
      </w:r>
      <w:r>
        <w:rPr>
          <w:rFonts w:cs="Times New Roman"/>
          <w:szCs w:val="24"/>
          <w:lang w:val="en-US"/>
        </w:rPr>
        <w:t>and</w:t>
      </w:r>
      <w:r>
        <w:rPr>
          <w:rFonts w:cs="Times New Roman"/>
          <w:szCs w:val="24"/>
        </w:rPr>
        <w:t xml:space="preserve"> Paglinawan, A.C., 2016, A Chaos-Enhanced Particle Swarm Optimization With Adaptive Parameters and Its Application in Maximum Power Point Tracking, </w:t>
      </w:r>
      <w:r>
        <w:rPr>
          <w:rFonts w:cs="Times New Roman"/>
          <w:i/>
          <w:iCs/>
          <w:szCs w:val="24"/>
        </w:rPr>
        <w:t>Mathematical Problems in Engineering</w:t>
      </w:r>
      <w:r>
        <w:rPr>
          <w:rFonts w:cs="Times New Roman"/>
          <w:szCs w:val="24"/>
        </w:rPr>
        <w:t>, Vol. 2016, pp. 1–19.</w:t>
      </w:r>
    </w:p>
    <w:p w14:paraId="58743C3D">
      <w:pPr>
        <w:widowControl w:val="0"/>
        <w:autoSpaceDE w:val="0"/>
        <w:autoSpaceDN w:val="0"/>
        <w:adjustRightInd w:val="0"/>
        <w:spacing w:line="240" w:lineRule="auto"/>
        <w:ind w:left="851" w:hanging="851"/>
        <w:rPr>
          <w:rFonts w:cs="Times New Roman"/>
          <w:szCs w:val="24"/>
        </w:rPr>
      </w:pPr>
      <w:r>
        <w:rPr>
          <w:rFonts w:cs="Times New Roman"/>
          <w:szCs w:val="24"/>
        </w:rPr>
        <w:t xml:space="preserve">Hussien, A.M., Hasanien, H.M., Qais, M.H., </w:t>
      </w:r>
      <w:r>
        <w:rPr>
          <w:rFonts w:cs="Times New Roman"/>
          <w:szCs w:val="24"/>
          <w:lang w:val="en-US"/>
        </w:rPr>
        <w:t>and</w:t>
      </w:r>
      <w:r>
        <w:rPr>
          <w:rFonts w:cs="Times New Roman"/>
          <w:szCs w:val="24"/>
        </w:rPr>
        <w:t xml:space="preserve"> Alghuwainem, S., 2024, Hybrid Transient Search Algorithm With Levy Flight for Optimal PI Controllers of Islanded Microgrids, </w:t>
      </w:r>
      <w:r>
        <w:rPr>
          <w:rFonts w:cs="Times New Roman"/>
          <w:i/>
          <w:iCs/>
          <w:szCs w:val="24"/>
        </w:rPr>
        <w:t>IEEE Access</w:t>
      </w:r>
      <w:r>
        <w:rPr>
          <w:rFonts w:cs="Times New Roman"/>
          <w:szCs w:val="24"/>
        </w:rPr>
        <w:t>, Vol. 12, pp. 15075–15092.</w:t>
      </w:r>
    </w:p>
    <w:p w14:paraId="7E37C2F4">
      <w:pPr>
        <w:widowControl w:val="0"/>
        <w:autoSpaceDE w:val="0"/>
        <w:autoSpaceDN w:val="0"/>
        <w:adjustRightInd w:val="0"/>
        <w:spacing w:line="240" w:lineRule="auto"/>
        <w:ind w:left="851" w:hanging="851"/>
        <w:rPr>
          <w:rFonts w:cs="Times New Roman"/>
          <w:szCs w:val="24"/>
        </w:rPr>
      </w:pPr>
      <w:r>
        <w:rPr>
          <w:rFonts w:cs="Times New Roman"/>
          <w:szCs w:val="24"/>
        </w:rPr>
        <w:t xml:space="preserve">Jain, V., 2024, Performance Comparison of Various Machine Learning Models for Rainfall Prediction Using Wind Information, </w:t>
      </w:r>
      <w:r>
        <w:rPr>
          <w:rFonts w:cs="Times New Roman"/>
          <w:i/>
          <w:iCs/>
          <w:szCs w:val="24"/>
        </w:rPr>
        <w:t>Interantional Journal of Scientific Research in Engineering and Management</w:t>
      </w:r>
      <w:r>
        <w:rPr>
          <w:rFonts w:cs="Times New Roman"/>
          <w:szCs w:val="24"/>
        </w:rPr>
        <w:t>, Vol. 08, no. 05, pp. 1–5.</w:t>
      </w:r>
    </w:p>
    <w:p w14:paraId="3C3EFFD4">
      <w:pPr>
        <w:widowControl w:val="0"/>
        <w:autoSpaceDE w:val="0"/>
        <w:autoSpaceDN w:val="0"/>
        <w:adjustRightInd w:val="0"/>
        <w:spacing w:line="240" w:lineRule="auto"/>
        <w:ind w:left="851" w:hanging="851"/>
        <w:rPr>
          <w:rFonts w:cs="Times New Roman"/>
          <w:szCs w:val="24"/>
        </w:rPr>
      </w:pPr>
      <w:r>
        <w:rPr>
          <w:rFonts w:cs="Times New Roman"/>
          <w:szCs w:val="24"/>
        </w:rPr>
        <w:t xml:space="preserve">Khan, M.T., Shoaib, M., Hammad, M., Salahudin, H., Ahmad, F., </w:t>
      </w:r>
      <w:r>
        <w:rPr>
          <w:rFonts w:cs="Times New Roman"/>
          <w:szCs w:val="24"/>
          <w:lang w:val="en-US"/>
        </w:rPr>
        <w:t>and</w:t>
      </w:r>
      <w:r>
        <w:rPr>
          <w:rFonts w:cs="Times New Roman"/>
          <w:szCs w:val="24"/>
        </w:rPr>
        <w:t xml:space="preserve"> Ahmad, S., 2021, Application of Machine Learning Techniques in Rainfall–Runoff Modelling of the Soan River Basin, Pakistan, </w:t>
      </w:r>
      <w:r>
        <w:rPr>
          <w:rFonts w:cs="Times New Roman"/>
          <w:i/>
          <w:iCs/>
          <w:szCs w:val="24"/>
        </w:rPr>
        <w:t>Water</w:t>
      </w:r>
      <w:r>
        <w:rPr>
          <w:rFonts w:cs="Times New Roman"/>
          <w:szCs w:val="24"/>
        </w:rPr>
        <w:t>, Vol. 13, no. 24, pp. 3528.</w:t>
      </w:r>
    </w:p>
    <w:p w14:paraId="57E94526">
      <w:pPr>
        <w:widowControl w:val="0"/>
        <w:autoSpaceDE w:val="0"/>
        <w:autoSpaceDN w:val="0"/>
        <w:adjustRightInd w:val="0"/>
        <w:spacing w:line="240" w:lineRule="auto"/>
        <w:ind w:left="851" w:hanging="851"/>
        <w:rPr>
          <w:rFonts w:cs="Times New Roman"/>
          <w:szCs w:val="24"/>
        </w:rPr>
      </w:pPr>
      <w:r>
        <w:rPr>
          <w:rFonts w:cs="Times New Roman"/>
          <w:szCs w:val="24"/>
        </w:rPr>
        <w:t xml:space="preserve">Khandu, N., Awange, J.L., Kuhn, M., Anyah, R., dan Forootan, E., 2016, Changes </w:t>
      </w:r>
      <w:r>
        <w:rPr>
          <w:rFonts w:cs="Times New Roman"/>
          <w:szCs w:val="24"/>
          <w:lang w:val="en-US"/>
        </w:rPr>
        <w:t>and</w:t>
      </w:r>
      <w:r>
        <w:rPr>
          <w:rFonts w:cs="Times New Roman"/>
          <w:szCs w:val="24"/>
        </w:rPr>
        <w:t xml:space="preserve"> Variability of Precipitation and Temperature in the Ganges–Brahmaputra–Meghna River Basin Based on Global High‐resolution Reanalyses, </w:t>
      </w:r>
      <w:r>
        <w:rPr>
          <w:rFonts w:cs="Times New Roman"/>
          <w:i/>
          <w:iCs/>
          <w:szCs w:val="24"/>
        </w:rPr>
        <w:t>International Journal of Climatology</w:t>
      </w:r>
      <w:r>
        <w:rPr>
          <w:rFonts w:cs="Times New Roman"/>
          <w:szCs w:val="24"/>
        </w:rPr>
        <w:t>, Vol. 37, no. 4, pp. 2141–2159.</w:t>
      </w:r>
    </w:p>
    <w:p w14:paraId="2B0EBA8B">
      <w:pPr>
        <w:widowControl w:val="0"/>
        <w:autoSpaceDE w:val="0"/>
        <w:autoSpaceDN w:val="0"/>
        <w:adjustRightInd w:val="0"/>
        <w:spacing w:line="240" w:lineRule="auto"/>
        <w:ind w:left="851" w:hanging="851"/>
        <w:rPr>
          <w:rFonts w:cs="Times New Roman"/>
          <w:szCs w:val="24"/>
        </w:rPr>
      </w:pPr>
      <w:r>
        <w:rPr>
          <w:rFonts w:cs="Times New Roman"/>
          <w:szCs w:val="24"/>
        </w:rPr>
        <w:t xml:space="preserve">Kratzert, F., Klotz, D., Shalev, G., Klambauer, G., Hochreiter, S., </w:t>
      </w:r>
      <w:r>
        <w:rPr>
          <w:rFonts w:cs="Times New Roman"/>
          <w:szCs w:val="24"/>
          <w:lang w:val="en-US"/>
        </w:rPr>
        <w:t>and</w:t>
      </w:r>
      <w:r>
        <w:rPr>
          <w:rFonts w:cs="Times New Roman"/>
          <w:szCs w:val="24"/>
        </w:rPr>
        <w:t xml:space="preserve"> Nearing, G., 2019, Towards Learning Universal, Regional, and Local Hydrological Behaviors via Machine Learning Applied to Large-Sample Datasets, </w:t>
      </w:r>
      <w:r>
        <w:rPr>
          <w:rFonts w:cs="Times New Roman"/>
          <w:i/>
          <w:iCs/>
          <w:szCs w:val="24"/>
        </w:rPr>
        <w:t>Hydrology and Earth System Sciences</w:t>
      </w:r>
      <w:r>
        <w:rPr>
          <w:rFonts w:cs="Times New Roman"/>
          <w:szCs w:val="24"/>
        </w:rPr>
        <w:t>, Vol. 23, no. 12, pp. 5089–5110.</w:t>
      </w:r>
    </w:p>
    <w:p w14:paraId="6F172402">
      <w:pPr>
        <w:widowControl w:val="0"/>
        <w:autoSpaceDE w:val="0"/>
        <w:autoSpaceDN w:val="0"/>
        <w:adjustRightInd w:val="0"/>
        <w:spacing w:line="240" w:lineRule="auto"/>
        <w:ind w:left="851" w:hanging="851"/>
        <w:rPr>
          <w:rFonts w:cs="Times New Roman"/>
          <w:szCs w:val="24"/>
        </w:rPr>
      </w:pPr>
      <w:r>
        <w:rPr>
          <w:rFonts w:cs="Times New Roman"/>
          <w:szCs w:val="24"/>
        </w:rPr>
        <w:t xml:space="preserve">Lee, D., Gonzalez, L.F., Periaux, J., Srinivas, K., </w:t>
      </w:r>
      <w:r>
        <w:rPr>
          <w:rFonts w:cs="Times New Roman"/>
          <w:szCs w:val="24"/>
          <w:lang w:val="en-US"/>
        </w:rPr>
        <w:t>and</w:t>
      </w:r>
      <w:r>
        <w:rPr>
          <w:rFonts w:cs="Times New Roman"/>
          <w:szCs w:val="24"/>
        </w:rPr>
        <w:t xml:space="preserve"> Onate, E., 2011, Hybrid-Game Strategies for Multi-Objective Design Optimization in Engineering, </w:t>
      </w:r>
      <w:r>
        <w:rPr>
          <w:rFonts w:cs="Times New Roman"/>
          <w:i/>
          <w:iCs/>
          <w:szCs w:val="24"/>
        </w:rPr>
        <w:t>Computers &amp;Amp; Fluids</w:t>
      </w:r>
      <w:r>
        <w:rPr>
          <w:rFonts w:cs="Times New Roman"/>
          <w:szCs w:val="24"/>
        </w:rPr>
        <w:t>, Vol. 47, no. 1, pp. 189–204.</w:t>
      </w:r>
    </w:p>
    <w:p w14:paraId="65CD65CC">
      <w:pPr>
        <w:widowControl w:val="0"/>
        <w:autoSpaceDE w:val="0"/>
        <w:autoSpaceDN w:val="0"/>
        <w:adjustRightInd w:val="0"/>
        <w:spacing w:line="240" w:lineRule="auto"/>
        <w:ind w:left="851" w:hanging="851"/>
        <w:rPr>
          <w:rFonts w:cs="Times New Roman"/>
          <w:szCs w:val="24"/>
        </w:rPr>
      </w:pPr>
      <w:r>
        <w:rPr>
          <w:rFonts w:cs="Times New Roman"/>
          <w:szCs w:val="24"/>
        </w:rPr>
        <w:t xml:space="preserve">Liu, F., Chen, L., Zheng, Y., </w:t>
      </w:r>
      <w:r>
        <w:rPr>
          <w:rFonts w:cs="Times New Roman"/>
          <w:szCs w:val="24"/>
          <w:lang w:val="en-US"/>
        </w:rPr>
        <w:t>and</w:t>
      </w:r>
      <w:r>
        <w:rPr>
          <w:rFonts w:cs="Times New Roman"/>
          <w:szCs w:val="24"/>
        </w:rPr>
        <w:t xml:space="preserve"> Feng, Y., 2022, A Prediction Method with Data Leakage Suppression for Time Series, </w:t>
      </w:r>
      <w:r>
        <w:rPr>
          <w:rFonts w:cs="Times New Roman"/>
          <w:i/>
          <w:iCs/>
          <w:szCs w:val="24"/>
        </w:rPr>
        <w:t>Electronics</w:t>
      </w:r>
      <w:r>
        <w:rPr>
          <w:rFonts w:cs="Times New Roman"/>
          <w:szCs w:val="24"/>
        </w:rPr>
        <w:t>.</w:t>
      </w:r>
    </w:p>
    <w:p w14:paraId="13C733BB">
      <w:pPr>
        <w:widowControl w:val="0"/>
        <w:autoSpaceDE w:val="0"/>
        <w:autoSpaceDN w:val="0"/>
        <w:adjustRightInd w:val="0"/>
        <w:spacing w:line="240" w:lineRule="auto"/>
        <w:ind w:left="851" w:hanging="851"/>
        <w:rPr>
          <w:rFonts w:cs="Times New Roman"/>
          <w:szCs w:val="24"/>
        </w:rPr>
      </w:pPr>
      <w:r>
        <w:rPr>
          <w:rFonts w:cs="Times New Roman"/>
          <w:szCs w:val="24"/>
        </w:rPr>
        <w:t xml:space="preserve">Liu, Y., Liu, S., </w:t>
      </w:r>
      <w:r>
        <w:rPr>
          <w:rFonts w:cs="Times New Roman"/>
          <w:szCs w:val="24"/>
          <w:lang w:val="en-US"/>
        </w:rPr>
        <w:t>and</w:t>
      </w:r>
      <w:r>
        <w:rPr>
          <w:rFonts w:cs="Times New Roman"/>
          <w:szCs w:val="24"/>
        </w:rPr>
        <w:t xml:space="preserve"> Chen, J., 2023, RLNformer: A Rainfall Levels Nowcasting Model Based on Conv1D_Transformer for the Northern Xinjiang Area of China, </w:t>
      </w:r>
      <w:r>
        <w:rPr>
          <w:rFonts w:cs="Times New Roman"/>
          <w:i/>
          <w:iCs/>
          <w:szCs w:val="24"/>
        </w:rPr>
        <w:t>Water</w:t>
      </w:r>
      <w:r>
        <w:rPr>
          <w:rFonts w:cs="Times New Roman"/>
          <w:szCs w:val="24"/>
        </w:rPr>
        <w:t>, Vol. 15, no. 20, pp. 3650.</w:t>
      </w:r>
    </w:p>
    <w:p w14:paraId="5C1840A2">
      <w:pPr>
        <w:widowControl w:val="0"/>
        <w:autoSpaceDE w:val="0"/>
        <w:autoSpaceDN w:val="0"/>
        <w:adjustRightInd w:val="0"/>
        <w:spacing w:line="240" w:lineRule="auto"/>
        <w:ind w:left="851" w:hanging="851"/>
        <w:rPr>
          <w:rFonts w:cs="Times New Roman"/>
          <w:szCs w:val="24"/>
        </w:rPr>
      </w:pPr>
      <w:r>
        <w:rPr>
          <w:rFonts w:cs="Times New Roman"/>
          <w:szCs w:val="24"/>
        </w:rPr>
        <w:t xml:space="preserve">Martin, Z., Wang, S., Nie, J., </w:t>
      </w:r>
      <w:r>
        <w:rPr>
          <w:rFonts w:cs="Times New Roman"/>
          <w:szCs w:val="24"/>
          <w:lang w:val="en-US"/>
        </w:rPr>
        <w:t>and</w:t>
      </w:r>
      <w:r>
        <w:rPr>
          <w:rFonts w:cs="Times New Roman"/>
          <w:szCs w:val="24"/>
        </w:rPr>
        <w:t xml:space="preserve"> Sobel, A., 2019, The Impact of the QBO on MJO Convection in Cloud-Resolving Simulations, </w:t>
      </w:r>
      <w:r>
        <w:rPr>
          <w:rFonts w:cs="Times New Roman"/>
          <w:i/>
          <w:iCs/>
          <w:szCs w:val="24"/>
        </w:rPr>
        <w:t>Journal of the Atmospheric Sciences</w:t>
      </w:r>
      <w:r>
        <w:rPr>
          <w:rFonts w:cs="Times New Roman"/>
          <w:szCs w:val="24"/>
        </w:rPr>
        <w:t>, Vol. 76, no. 3, pp. 669–688.</w:t>
      </w:r>
    </w:p>
    <w:p w14:paraId="29746D6E">
      <w:pPr>
        <w:widowControl w:val="0"/>
        <w:autoSpaceDE w:val="0"/>
        <w:autoSpaceDN w:val="0"/>
        <w:adjustRightInd w:val="0"/>
        <w:spacing w:line="240" w:lineRule="auto"/>
        <w:ind w:left="851" w:hanging="851"/>
        <w:rPr>
          <w:rFonts w:cs="Times New Roman"/>
          <w:szCs w:val="24"/>
        </w:rPr>
      </w:pPr>
      <w:r>
        <w:rPr>
          <w:rFonts w:cs="Times New Roman"/>
          <w:szCs w:val="24"/>
        </w:rPr>
        <w:t xml:space="preserve">Mejahed, S., </w:t>
      </w:r>
      <w:r>
        <w:rPr>
          <w:rFonts w:cs="Times New Roman"/>
          <w:szCs w:val="24"/>
          <w:lang w:val="en-US"/>
        </w:rPr>
        <w:t>and</w:t>
      </w:r>
      <w:r>
        <w:rPr>
          <w:rFonts w:cs="Times New Roman"/>
          <w:szCs w:val="24"/>
        </w:rPr>
        <w:t xml:space="preserve"> Elshrkawey, M., 2022, A multi-objective algorithm for virtual machine placement in cloud environments using a hybrid of particle swarm optimization and flower pollination optimization, </w:t>
      </w:r>
      <w:r>
        <w:rPr>
          <w:rFonts w:cs="Times New Roman"/>
          <w:i/>
          <w:iCs/>
          <w:szCs w:val="24"/>
        </w:rPr>
        <w:t>PeerJ Computer Science</w:t>
      </w:r>
      <w:r>
        <w:rPr>
          <w:rFonts w:cs="Times New Roman"/>
          <w:szCs w:val="24"/>
        </w:rPr>
        <w:t>, Vol. 8, pp. e834.</w:t>
      </w:r>
    </w:p>
    <w:p w14:paraId="7296E1FC">
      <w:pPr>
        <w:widowControl w:val="0"/>
        <w:autoSpaceDE w:val="0"/>
        <w:autoSpaceDN w:val="0"/>
        <w:adjustRightInd w:val="0"/>
        <w:spacing w:line="240" w:lineRule="auto"/>
        <w:ind w:left="851" w:hanging="851"/>
        <w:rPr>
          <w:rFonts w:cs="Times New Roman"/>
          <w:szCs w:val="24"/>
        </w:rPr>
      </w:pPr>
      <w:r>
        <w:rPr>
          <w:rFonts w:cs="Times New Roman"/>
          <w:szCs w:val="24"/>
        </w:rPr>
        <w:t xml:space="preserve">Mergos, P.E., </w:t>
      </w:r>
      <w:r>
        <w:rPr>
          <w:rFonts w:cs="Times New Roman"/>
          <w:szCs w:val="24"/>
          <w:lang w:val="en-US"/>
        </w:rPr>
        <w:t>and</w:t>
      </w:r>
      <w:r>
        <w:rPr>
          <w:rFonts w:cs="Times New Roman"/>
          <w:szCs w:val="24"/>
        </w:rPr>
        <w:t xml:space="preserve"> Yang, X., 2021, Flower Pollination Algorithm Parameters Tuning, </w:t>
      </w:r>
      <w:r>
        <w:rPr>
          <w:rFonts w:cs="Times New Roman"/>
          <w:i/>
          <w:iCs/>
          <w:szCs w:val="24"/>
        </w:rPr>
        <w:t>Soft Computing</w:t>
      </w:r>
      <w:r>
        <w:rPr>
          <w:rFonts w:cs="Times New Roman"/>
          <w:szCs w:val="24"/>
        </w:rPr>
        <w:t>, Vol. 25, no. 22, pp. 14429–14447.</w:t>
      </w:r>
    </w:p>
    <w:p w14:paraId="21687643">
      <w:pPr>
        <w:widowControl w:val="0"/>
        <w:autoSpaceDE w:val="0"/>
        <w:autoSpaceDN w:val="0"/>
        <w:adjustRightInd w:val="0"/>
        <w:spacing w:line="240" w:lineRule="auto"/>
        <w:ind w:left="851" w:hanging="851"/>
        <w:rPr>
          <w:rFonts w:cs="Times New Roman"/>
          <w:szCs w:val="24"/>
        </w:rPr>
      </w:pPr>
      <w:r>
        <w:rPr>
          <w:rFonts w:cs="Times New Roman"/>
          <w:szCs w:val="24"/>
        </w:rPr>
        <w:t xml:space="preserve">Mulsandi, A., Koesmaryono, Y., Hidayat, R., Faqih, A., dan Sopaheluwakan, A., 2024, Detecting Indonesian Monsoon Signals and Related Features Using Space–Time Singular Value Decomposition (SVD), </w:t>
      </w:r>
      <w:r>
        <w:rPr>
          <w:rFonts w:cs="Times New Roman"/>
          <w:i/>
          <w:iCs/>
          <w:szCs w:val="24"/>
        </w:rPr>
        <w:t>Atmosphere</w:t>
      </w:r>
      <w:r>
        <w:rPr>
          <w:rFonts w:cs="Times New Roman"/>
          <w:szCs w:val="24"/>
        </w:rPr>
        <w:t>, Vol. 15, no. 2, pp. 187.</w:t>
      </w:r>
    </w:p>
    <w:p w14:paraId="3F8DA99A">
      <w:pPr>
        <w:widowControl w:val="0"/>
        <w:autoSpaceDE w:val="0"/>
        <w:autoSpaceDN w:val="0"/>
        <w:adjustRightInd w:val="0"/>
        <w:spacing w:line="240" w:lineRule="auto"/>
        <w:ind w:left="851" w:hanging="851"/>
        <w:rPr>
          <w:rFonts w:cs="Times New Roman"/>
          <w:szCs w:val="24"/>
        </w:rPr>
      </w:pPr>
      <w:r>
        <w:rPr>
          <w:rFonts w:cs="Times New Roman"/>
          <w:szCs w:val="24"/>
        </w:rPr>
        <w:t xml:space="preserve">Nadimi-Shahraki, M.H., Fatahi, A., Zamani, H., Mirjalili, S., </w:t>
      </w:r>
      <w:r>
        <w:rPr>
          <w:rFonts w:cs="Times New Roman"/>
          <w:szCs w:val="24"/>
          <w:lang w:val="en-US"/>
        </w:rPr>
        <w:t>and</w:t>
      </w:r>
      <w:r>
        <w:rPr>
          <w:rFonts w:cs="Times New Roman"/>
          <w:szCs w:val="24"/>
        </w:rPr>
        <w:t xml:space="preserve"> Abualigah, L., 2021, An Improved Moth-Flame Optimization Algorithm With Adaptation Mechanism to Solve Numerical and Mechanical Engineering Problems, </w:t>
      </w:r>
      <w:r>
        <w:rPr>
          <w:rFonts w:cs="Times New Roman"/>
          <w:i/>
          <w:iCs/>
          <w:szCs w:val="24"/>
        </w:rPr>
        <w:t>Entropy</w:t>
      </w:r>
      <w:r>
        <w:rPr>
          <w:rFonts w:cs="Times New Roman"/>
          <w:szCs w:val="24"/>
        </w:rPr>
        <w:t>, Vol. 23, no. 12, pp. 1637.</w:t>
      </w:r>
    </w:p>
    <w:p w14:paraId="38B05ACD">
      <w:pPr>
        <w:widowControl w:val="0"/>
        <w:autoSpaceDE w:val="0"/>
        <w:autoSpaceDN w:val="0"/>
        <w:adjustRightInd w:val="0"/>
        <w:spacing w:line="240" w:lineRule="auto"/>
        <w:ind w:left="851" w:hanging="851"/>
        <w:rPr>
          <w:rFonts w:cs="Times New Roman"/>
          <w:szCs w:val="24"/>
        </w:rPr>
      </w:pPr>
      <w:r>
        <w:rPr>
          <w:rFonts w:cs="Times New Roman"/>
          <w:szCs w:val="24"/>
        </w:rPr>
        <w:t xml:space="preserve">Narejo, S., Jawaid, M.M., Talpur, S., Baloch, R., </w:t>
      </w:r>
      <w:r>
        <w:rPr>
          <w:rFonts w:cs="Times New Roman"/>
          <w:szCs w:val="24"/>
          <w:lang w:val="en-US"/>
        </w:rPr>
        <w:t>and</w:t>
      </w:r>
      <w:r>
        <w:rPr>
          <w:rFonts w:cs="Times New Roman"/>
          <w:szCs w:val="24"/>
        </w:rPr>
        <w:t xml:space="preserve"> Pasero, E.G.A., 2021, Multi-Step Rainfall Forecasting Using Deep Learning Approach, </w:t>
      </w:r>
      <w:r>
        <w:rPr>
          <w:rFonts w:cs="Times New Roman"/>
          <w:i/>
          <w:iCs/>
          <w:szCs w:val="24"/>
        </w:rPr>
        <w:t>PeerJ Computer Science</w:t>
      </w:r>
      <w:r>
        <w:rPr>
          <w:rFonts w:cs="Times New Roman"/>
          <w:szCs w:val="24"/>
        </w:rPr>
        <w:t>, Vol. 7, pp. e514.</w:t>
      </w:r>
    </w:p>
    <w:p w14:paraId="60984CDA">
      <w:pPr>
        <w:widowControl w:val="0"/>
        <w:autoSpaceDE w:val="0"/>
        <w:autoSpaceDN w:val="0"/>
        <w:adjustRightInd w:val="0"/>
        <w:spacing w:line="240" w:lineRule="auto"/>
        <w:ind w:left="851" w:hanging="851"/>
        <w:rPr>
          <w:rFonts w:cs="Times New Roman"/>
          <w:szCs w:val="24"/>
        </w:rPr>
      </w:pPr>
      <w:r>
        <w:rPr>
          <w:rFonts w:cs="Times New Roman"/>
          <w:szCs w:val="24"/>
        </w:rPr>
        <w:t xml:space="preserve">Nayak, G.H.H., Alam, M.W., Naik, B.S., Varshini, B.S., Avinash, G., Kumar, R.R., Ray, M., </w:t>
      </w:r>
      <w:r>
        <w:rPr>
          <w:rFonts w:cs="Times New Roman"/>
          <w:szCs w:val="24"/>
          <w:lang w:val="en-US"/>
        </w:rPr>
        <w:t>and</w:t>
      </w:r>
      <w:r>
        <w:rPr>
          <w:rFonts w:cs="Times New Roman"/>
          <w:szCs w:val="24"/>
        </w:rPr>
        <w:t xml:space="preserve"> Singh, K.N., 2025, Meta-Transformer: Leveraging Metaheuristic Algorithms for Agricultural Commodity Price Forecasting, </w:t>
      </w:r>
      <w:r>
        <w:rPr>
          <w:rFonts w:cs="Times New Roman"/>
          <w:i/>
          <w:iCs/>
          <w:szCs w:val="24"/>
        </w:rPr>
        <w:t>Journal of Big Data</w:t>
      </w:r>
      <w:r>
        <w:rPr>
          <w:rFonts w:cs="Times New Roman"/>
          <w:szCs w:val="24"/>
        </w:rPr>
        <w:t>, Vol. 12, no. 1.</w:t>
      </w:r>
    </w:p>
    <w:p w14:paraId="4DC933FE">
      <w:pPr>
        <w:widowControl w:val="0"/>
        <w:autoSpaceDE w:val="0"/>
        <w:autoSpaceDN w:val="0"/>
        <w:adjustRightInd w:val="0"/>
        <w:spacing w:line="240" w:lineRule="auto"/>
        <w:ind w:left="851" w:hanging="851"/>
        <w:rPr>
          <w:rFonts w:cs="Times New Roman"/>
          <w:szCs w:val="24"/>
        </w:rPr>
      </w:pPr>
      <w:r>
        <w:rPr>
          <w:rFonts w:cs="Times New Roman"/>
          <w:szCs w:val="24"/>
        </w:rPr>
        <w:t xml:space="preserve">Nolte, A., Heudorfer, B., Bender, S., </w:t>
      </w:r>
      <w:r>
        <w:rPr>
          <w:rFonts w:cs="Times New Roman"/>
          <w:szCs w:val="24"/>
          <w:lang w:val="en-US"/>
        </w:rPr>
        <w:t>and</w:t>
      </w:r>
      <w:r>
        <w:rPr>
          <w:rFonts w:cs="Times New Roman"/>
          <w:szCs w:val="24"/>
        </w:rPr>
        <w:t xml:space="preserve"> Hartmann, J., 2025, Multi-Site Deep Learning for Groundwater Level Prediction Across Global Datasets: Toward Scalable Applications Under Data Scarcity, </w:t>
      </w:r>
      <w:r>
        <w:rPr>
          <w:rFonts w:cs="Times New Roman"/>
          <w:i/>
          <w:iCs/>
          <w:szCs w:val="24"/>
        </w:rPr>
        <w:t>Journal of Hydroinformatics</w:t>
      </w:r>
      <w:r>
        <w:rPr>
          <w:rFonts w:cs="Times New Roman"/>
          <w:szCs w:val="24"/>
        </w:rPr>
        <w:t>, Vol. 27, no. 10, pp. 1632–1651.</w:t>
      </w:r>
    </w:p>
    <w:p w14:paraId="3ADC6739">
      <w:pPr>
        <w:widowControl w:val="0"/>
        <w:autoSpaceDE w:val="0"/>
        <w:autoSpaceDN w:val="0"/>
        <w:adjustRightInd w:val="0"/>
        <w:spacing w:line="240" w:lineRule="auto"/>
        <w:ind w:left="851" w:hanging="851"/>
        <w:rPr>
          <w:rFonts w:cs="Times New Roman"/>
          <w:szCs w:val="24"/>
        </w:rPr>
      </w:pPr>
      <w:r>
        <w:rPr>
          <w:rFonts w:cs="Times New Roman"/>
          <w:szCs w:val="24"/>
        </w:rPr>
        <w:t>N</w:t>
      </w:r>
      <w:r>
        <w:rPr>
          <w:rFonts w:cs="Times New Roman"/>
          <w:szCs w:val="24"/>
          <w:lang w:val="en-US"/>
        </w:rPr>
        <w:t>ur'utami</w:t>
      </w:r>
      <w:r>
        <w:rPr>
          <w:rFonts w:cs="Times New Roman"/>
          <w:szCs w:val="24"/>
        </w:rPr>
        <w:t xml:space="preserve">, M.N., </w:t>
      </w:r>
      <w:r>
        <w:rPr>
          <w:rFonts w:cs="Times New Roman"/>
          <w:szCs w:val="24"/>
          <w:lang w:val="en-US"/>
        </w:rPr>
        <w:t>and</w:t>
      </w:r>
      <w:r>
        <w:rPr>
          <w:rFonts w:cs="Times New Roman"/>
          <w:szCs w:val="24"/>
        </w:rPr>
        <w:t xml:space="preserve"> H</w:t>
      </w:r>
      <w:r>
        <w:rPr>
          <w:rFonts w:cs="Times New Roman"/>
          <w:szCs w:val="24"/>
          <w:lang w:val="en-US"/>
        </w:rPr>
        <w:t>ayasaka</w:t>
      </w:r>
      <w:r>
        <w:rPr>
          <w:rFonts w:cs="Times New Roman"/>
          <w:szCs w:val="24"/>
        </w:rPr>
        <w:t xml:space="preserve">, T., 2022, Interannual Variability of the Indonesian Rainfall and Air–Sea Interaction Over the Indo–Pacific Associated With Interdecadal Pacific Oscillation Phases in the Dry Season, </w:t>
      </w:r>
      <w:r>
        <w:rPr>
          <w:rFonts w:cs="Times New Roman"/>
          <w:i/>
          <w:iCs/>
          <w:szCs w:val="24"/>
        </w:rPr>
        <w:t>Journal of the Meteorological Society of Japan. Ser. II</w:t>
      </w:r>
      <w:r>
        <w:rPr>
          <w:rFonts w:cs="Times New Roman"/>
          <w:szCs w:val="24"/>
        </w:rPr>
        <w:t>, Vol. 100, no. 1, pp. 77–97.</w:t>
      </w:r>
    </w:p>
    <w:p w14:paraId="3470C847">
      <w:pPr>
        <w:widowControl w:val="0"/>
        <w:autoSpaceDE w:val="0"/>
        <w:autoSpaceDN w:val="0"/>
        <w:adjustRightInd w:val="0"/>
        <w:spacing w:line="240" w:lineRule="auto"/>
        <w:ind w:left="851" w:hanging="851"/>
        <w:rPr>
          <w:rFonts w:cs="Times New Roman"/>
          <w:szCs w:val="24"/>
        </w:rPr>
      </w:pPr>
      <w:r>
        <w:rPr>
          <w:rFonts w:cs="Times New Roman"/>
          <w:szCs w:val="24"/>
        </w:rPr>
        <w:t xml:space="preserve">Pal, S.K., </w:t>
      </w:r>
      <w:r>
        <w:rPr>
          <w:rFonts w:cs="Times New Roman"/>
          <w:szCs w:val="24"/>
          <w:lang w:val="en-US"/>
        </w:rPr>
        <w:t>and</w:t>
      </w:r>
      <w:r>
        <w:rPr>
          <w:rFonts w:cs="Times New Roman"/>
          <w:szCs w:val="24"/>
        </w:rPr>
        <w:t xml:space="preserve"> Dutta, D., 2024, Transfer Learning in Weather Prediction: Why, How, and What Should, </w:t>
      </w:r>
      <w:r>
        <w:rPr>
          <w:rFonts w:cs="Times New Roman"/>
          <w:i/>
          <w:iCs/>
          <w:szCs w:val="24"/>
        </w:rPr>
        <w:t>Journal of Computational and Cognitive Engineering</w:t>
      </w:r>
      <w:r>
        <w:rPr>
          <w:rFonts w:cs="Times New Roman"/>
          <w:szCs w:val="24"/>
        </w:rPr>
        <w:t>, Vol. 3, no. 4, pp. 324–347.</w:t>
      </w:r>
    </w:p>
    <w:p w14:paraId="65C02C13">
      <w:pPr>
        <w:widowControl w:val="0"/>
        <w:autoSpaceDE w:val="0"/>
        <w:autoSpaceDN w:val="0"/>
        <w:adjustRightInd w:val="0"/>
        <w:spacing w:line="240" w:lineRule="auto"/>
        <w:ind w:left="851" w:hanging="851"/>
        <w:rPr>
          <w:rFonts w:cs="Times New Roman"/>
          <w:szCs w:val="24"/>
        </w:rPr>
      </w:pPr>
      <w:r>
        <w:rPr>
          <w:rFonts w:cs="Times New Roman"/>
          <w:szCs w:val="24"/>
        </w:rPr>
        <w:t xml:space="preserve">Pfohl, S., Zhang, H., Xu, Y., Foryciarz, A., Ghassemi, M., </w:t>
      </w:r>
      <w:r>
        <w:rPr>
          <w:rFonts w:cs="Times New Roman"/>
          <w:szCs w:val="24"/>
          <w:lang w:val="en-US"/>
        </w:rPr>
        <w:t>and</w:t>
      </w:r>
      <w:r>
        <w:rPr>
          <w:rFonts w:cs="Times New Roman"/>
          <w:szCs w:val="24"/>
        </w:rPr>
        <w:t xml:space="preserve"> Shah, N.H., 2022, A Comparison of Approaches to Improve Worst-Case Predictive Model Performance Over Patient Subpopulations, </w:t>
      </w:r>
      <w:r>
        <w:rPr>
          <w:rFonts w:cs="Times New Roman"/>
          <w:i/>
          <w:iCs/>
          <w:szCs w:val="24"/>
        </w:rPr>
        <w:t>Scientific Reports</w:t>
      </w:r>
      <w:r>
        <w:rPr>
          <w:rFonts w:cs="Times New Roman"/>
          <w:szCs w:val="24"/>
        </w:rPr>
        <w:t>, Vol. 12, no. 1.</w:t>
      </w:r>
    </w:p>
    <w:p w14:paraId="1867BE67">
      <w:pPr>
        <w:widowControl w:val="0"/>
        <w:autoSpaceDE w:val="0"/>
        <w:autoSpaceDN w:val="0"/>
        <w:adjustRightInd w:val="0"/>
        <w:spacing w:line="240" w:lineRule="auto"/>
        <w:ind w:left="851" w:hanging="851"/>
        <w:rPr>
          <w:rFonts w:cs="Times New Roman"/>
          <w:szCs w:val="24"/>
        </w:rPr>
      </w:pPr>
      <w:r>
        <w:rPr>
          <w:rFonts w:cs="Times New Roman"/>
          <w:szCs w:val="24"/>
        </w:rPr>
        <w:t xml:space="preserve">Pham, T.A., Tran, V.Q., Vu, H.-L.T., </w:t>
      </w:r>
      <w:r>
        <w:rPr>
          <w:rFonts w:cs="Times New Roman"/>
          <w:szCs w:val="24"/>
          <w:lang w:val="en-US"/>
        </w:rPr>
        <w:t>and</w:t>
      </w:r>
      <w:r>
        <w:rPr>
          <w:rFonts w:cs="Times New Roman"/>
          <w:szCs w:val="24"/>
        </w:rPr>
        <w:t xml:space="preserve"> Ly, H.-B., 2020, Design deep neural network architecture using a genetic algorithm for estimation of pile bearing capacity, </w:t>
      </w:r>
      <w:r>
        <w:rPr>
          <w:rFonts w:cs="Times New Roman"/>
          <w:i/>
          <w:iCs/>
          <w:szCs w:val="24"/>
        </w:rPr>
        <w:t>PLOS ONE</w:t>
      </w:r>
      <w:r>
        <w:rPr>
          <w:rFonts w:cs="Times New Roman"/>
          <w:szCs w:val="24"/>
        </w:rPr>
        <w:t>, Vol. 15, no. 12, pp. e0243030, Public Library of Science.</w:t>
      </w:r>
    </w:p>
    <w:p w14:paraId="5F0045AA">
      <w:pPr>
        <w:widowControl w:val="0"/>
        <w:autoSpaceDE w:val="0"/>
        <w:autoSpaceDN w:val="0"/>
        <w:adjustRightInd w:val="0"/>
        <w:spacing w:line="240" w:lineRule="auto"/>
        <w:ind w:left="851" w:hanging="851"/>
        <w:rPr>
          <w:rFonts w:cs="Times New Roman"/>
          <w:szCs w:val="24"/>
        </w:rPr>
      </w:pPr>
      <w:r>
        <w:rPr>
          <w:rFonts w:cs="Times New Roman"/>
          <w:szCs w:val="24"/>
        </w:rPr>
        <w:t xml:space="preserve">Ramírez‐Gallego, S., Lastra, I., Martínez‐Rego, D., Bolón‐Canedo, V., Benítez, J.M., Herrera, F., </w:t>
      </w:r>
      <w:r>
        <w:rPr>
          <w:rFonts w:cs="Times New Roman"/>
          <w:szCs w:val="24"/>
          <w:lang w:val="en-US"/>
        </w:rPr>
        <w:t>and</w:t>
      </w:r>
      <w:r>
        <w:rPr>
          <w:rFonts w:cs="Times New Roman"/>
          <w:szCs w:val="24"/>
        </w:rPr>
        <w:t xml:space="preserve"> Alonso‐Betanzos, A., 2016, Fast-mRMR: Fast Minimum Redundancy Maximum Relevance Algorithm for High-Dimensional Big Data, </w:t>
      </w:r>
      <w:r>
        <w:rPr>
          <w:rFonts w:cs="Times New Roman"/>
          <w:i/>
          <w:iCs/>
          <w:szCs w:val="24"/>
        </w:rPr>
        <w:t>International Journal of Intelligent Systems</w:t>
      </w:r>
      <w:r>
        <w:rPr>
          <w:rFonts w:cs="Times New Roman"/>
          <w:szCs w:val="24"/>
        </w:rPr>
        <w:t>, Vol. 32, no. 2, pp. 134–152.</w:t>
      </w:r>
    </w:p>
    <w:p w14:paraId="287D7934">
      <w:pPr>
        <w:widowControl w:val="0"/>
        <w:autoSpaceDE w:val="0"/>
        <w:autoSpaceDN w:val="0"/>
        <w:adjustRightInd w:val="0"/>
        <w:spacing w:line="240" w:lineRule="auto"/>
        <w:ind w:left="851" w:hanging="851"/>
        <w:rPr>
          <w:rFonts w:cs="Times New Roman"/>
          <w:szCs w:val="24"/>
        </w:rPr>
      </w:pPr>
      <w:r>
        <w:rPr>
          <w:rFonts w:cs="Times New Roman"/>
          <w:szCs w:val="24"/>
        </w:rPr>
        <w:t xml:space="preserve">Saadi, Y., Yanto, I.T.R., Herawan, T., Balakrishnan, V., Chiroma, H., </w:t>
      </w:r>
      <w:r>
        <w:rPr>
          <w:rFonts w:cs="Times New Roman"/>
          <w:szCs w:val="24"/>
          <w:lang w:val="en-US"/>
        </w:rPr>
        <w:t>and</w:t>
      </w:r>
      <w:r>
        <w:rPr>
          <w:rFonts w:cs="Times New Roman"/>
          <w:szCs w:val="24"/>
        </w:rPr>
        <w:t xml:space="preserve"> Risnumawan, A., 2016, Ringed Seal Search for Global Optimization via a Sensitive Search Model, </w:t>
      </w:r>
      <w:r>
        <w:rPr>
          <w:rFonts w:cs="Times New Roman"/>
          <w:i/>
          <w:iCs/>
          <w:szCs w:val="24"/>
        </w:rPr>
        <w:t>Plos One</w:t>
      </w:r>
      <w:r>
        <w:rPr>
          <w:rFonts w:cs="Times New Roman"/>
          <w:szCs w:val="24"/>
        </w:rPr>
        <w:t>, Vol. 11, no. 1, pp. e0144371.</w:t>
      </w:r>
    </w:p>
    <w:p w14:paraId="709F8FB0">
      <w:pPr>
        <w:widowControl w:val="0"/>
        <w:autoSpaceDE w:val="0"/>
        <w:autoSpaceDN w:val="0"/>
        <w:adjustRightInd w:val="0"/>
        <w:spacing w:line="240" w:lineRule="auto"/>
        <w:ind w:left="851" w:hanging="851"/>
        <w:rPr>
          <w:rFonts w:cs="Times New Roman"/>
          <w:szCs w:val="24"/>
        </w:rPr>
      </w:pPr>
      <w:r>
        <w:rPr>
          <w:rFonts w:cs="Times New Roman"/>
          <w:szCs w:val="24"/>
        </w:rPr>
        <w:t xml:space="preserve">Salgotra, R., Lamba, A.K., Talwar, D., Gulati, D., </w:t>
      </w:r>
      <w:r>
        <w:rPr>
          <w:rFonts w:cs="Times New Roman"/>
          <w:szCs w:val="24"/>
          <w:lang w:val="en-US"/>
        </w:rPr>
        <w:t>and</w:t>
      </w:r>
      <w:r>
        <w:rPr>
          <w:rFonts w:cs="Times New Roman"/>
          <w:szCs w:val="24"/>
        </w:rPr>
        <w:t xml:space="preserve"> Gandomi, A.H., 2024, A Hybrid Swarm Intelligence Algorithm for Region-Based Image Fusion, </w:t>
      </w:r>
      <w:r>
        <w:rPr>
          <w:rFonts w:cs="Times New Roman"/>
          <w:i/>
          <w:iCs/>
          <w:szCs w:val="24"/>
        </w:rPr>
        <w:t>Scientific Reports</w:t>
      </w:r>
      <w:r>
        <w:rPr>
          <w:rFonts w:cs="Times New Roman"/>
          <w:szCs w:val="24"/>
        </w:rPr>
        <w:t>, Vol. 14, no. 1.</w:t>
      </w:r>
    </w:p>
    <w:p w14:paraId="34583DF0">
      <w:pPr>
        <w:widowControl w:val="0"/>
        <w:autoSpaceDE w:val="0"/>
        <w:autoSpaceDN w:val="0"/>
        <w:adjustRightInd w:val="0"/>
        <w:spacing w:line="240" w:lineRule="auto"/>
        <w:ind w:left="851" w:hanging="851"/>
        <w:rPr>
          <w:rFonts w:cs="Times New Roman"/>
          <w:szCs w:val="24"/>
        </w:rPr>
      </w:pPr>
      <w:r>
        <w:rPr>
          <w:rFonts w:cs="Times New Roman"/>
          <w:szCs w:val="24"/>
        </w:rPr>
        <w:t xml:space="preserve">Satyawardhana, H., Trismidianto, </w:t>
      </w:r>
      <w:r>
        <w:rPr>
          <w:rFonts w:cs="Times New Roman"/>
          <w:szCs w:val="24"/>
          <w:lang w:val="en-US"/>
        </w:rPr>
        <w:t>and</w:t>
      </w:r>
      <w:r>
        <w:rPr>
          <w:rFonts w:cs="Times New Roman"/>
          <w:szCs w:val="24"/>
        </w:rPr>
        <w:t xml:space="preserve"> Yulihastin, E., 2018, Influence of ENSO on Deviation of The Season Onset in Java Based on CCAM Downscaling Data, </w:t>
      </w:r>
      <w:r>
        <w:rPr>
          <w:rFonts w:cs="Times New Roman"/>
          <w:i/>
          <w:iCs/>
          <w:szCs w:val="24"/>
        </w:rPr>
        <w:t>IOP Conference Series: Earth and Environmental Science</w:t>
      </w:r>
      <w:r>
        <w:rPr>
          <w:rFonts w:cs="Times New Roman"/>
          <w:szCs w:val="24"/>
        </w:rPr>
        <w:t>, Vol. 166, no. 1, pp. 12030, IOP Publishing.</w:t>
      </w:r>
    </w:p>
    <w:p w14:paraId="384CE25A">
      <w:pPr>
        <w:widowControl w:val="0"/>
        <w:autoSpaceDE w:val="0"/>
        <w:autoSpaceDN w:val="0"/>
        <w:adjustRightInd w:val="0"/>
        <w:spacing w:line="240" w:lineRule="auto"/>
        <w:ind w:left="851" w:hanging="851"/>
        <w:rPr>
          <w:rFonts w:cs="Times New Roman"/>
          <w:szCs w:val="24"/>
        </w:rPr>
      </w:pPr>
      <w:r>
        <w:rPr>
          <w:rFonts w:cs="Times New Roman"/>
          <w:szCs w:val="24"/>
        </w:rPr>
        <w:t xml:space="preserve">Schmucker, R., Donini, M., Zafar, M.B., Salinas, D., </w:t>
      </w:r>
      <w:r>
        <w:rPr>
          <w:rFonts w:cs="Times New Roman"/>
          <w:szCs w:val="24"/>
          <w:lang w:val="en-US"/>
        </w:rPr>
        <w:t>and</w:t>
      </w:r>
      <w:r>
        <w:rPr>
          <w:rFonts w:cs="Times New Roman"/>
          <w:szCs w:val="24"/>
        </w:rPr>
        <w:t xml:space="preserve"> Archambeau, C., 2021, Multi-Objective Asynchronous Successive Halving, .</w:t>
      </w:r>
    </w:p>
    <w:p w14:paraId="78945914">
      <w:pPr>
        <w:widowControl w:val="0"/>
        <w:autoSpaceDE w:val="0"/>
        <w:autoSpaceDN w:val="0"/>
        <w:adjustRightInd w:val="0"/>
        <w:spacing w:line="240" w:lineRule="auto"/>
        <w:ind w:left="851" w:hanging="851"/>
        <w:rPr>
          <w:rFonts w:cs="Times New Roman"/>
          <w:szCs w:val="24"/>
        </w:rPr>
      </w:pPr>
      <w:r>
        <w:rPr>
          <w:rFonts w:cs="Times New Roman"/>
          <w:szCs w:val="24"/>
        </w:rPr>
        <w:t xml:space="preserve">Schnepper, T., Groh, J., Gerke, H., Reichert, B., </w:t>
      </w:r>
      <w:r>
        <w:rPr>
          <w:rFonts w:cs="Times New Roman"/>
          <w:szCs w:val="24"/>
          <w:lang w:val="en-US"/>
        </w:rPr>
        <w:t>and</w:t>
      </w:r>
      <w:r>
        <w:rPr>
          <w:rFonts w:cs="Times New Roman"/>
          <w:szCs w:val="24"/>
        </w:rPr>
        <w:t xml:space="preserve"> Pütz, T., 2023, Evaluation of precipitation measurement methods using data from a precision lysimeter network, </w:t>
      </w:r>
      <w:r>
        <w:rPr>
          <w:rFonts w:cs="Times New Roman"/>
          <w:i/>
          <w:iCs/>
          <w:szCs w:val="24"/>
        </w:rPr>
        <w:t>Hydrology and Earth System Sciences</w:t>
      </w:r>
      <w:r>
        <w:rPr>
          <w:rFonts w:cs="Times New Roman"/>
          <w:szCs w:val="24"/>
        </w:rPr>
        <w:t>.</w:t>
      </w:r>
    </w:p>
    <w:p w14:paraId="6E2A51EB">
      <w:pPr>
        <w:widowControl w:val="0"/>
        <w:autoSpaceDE w:val="0"/>
        <w:autoSpaceDN w:val="0"/>
        <w:adjustRightInd w:val="0"/>
        <w:spacing w:line="240" w:lineRule="auto"/>
        <w:ind w:left="851" w:hanging="851"/>
        <w:rPr>
          <w:rFonts w:cs="Times New Roman"/>
          <w:szCs w:val="24"/>
        </w:rPr>
      </w:pPr>
      <w:r>
        <w:rPr>
          <w:rFonts w:cs="Times New Roman"/>
          <w:szCs w:val="24"/>
        </w:rPr>
        <w:t xml:space="preserve">Simanjuntak, F., Jamaluddin, I., Lin, T.-H., Siahaan, H.A.W., dan Chen, Y.-N., 2022, Rainfall Forecast Using Machine Learning With High Spatiotemporal Satellite Imagery Every 10 Minutes, </w:t>
      </w:r>
      <w:r>
        <w:rPr>
          <w:rFonts w:cs="Times New Roman"/>
          <w:i/>
          <w:iCs/>
          <w:szCs w:val="24"/>
        </w:rPr>
        <w:t>Remote Sensing</w:t>
      </w:r>
      <w:r>
        <w:rPr>
          <w:rFonts w:cs="Times New Roman"/>
          <w:szCs w:val="24"/>
        </w:rPr>
        <w:t>, Vol. 14, no. 23, pp. 5950.</w:t>
      </w:r>
    </w:p>
    <w:p w14:paraId="689595BC">
      <w:pPr>
        <w:widowControl w:val="0"/>
        <w:autoSpaceDE w:val="0"/>
        <w:autoSpaceDN w:val="0"/>
        <w:adjustRightInd w:val="0"/>
        <w:spacing w:line="240" w:lineRule="auto"/>
        <w:ind w:left="851" w:hanging="851"/>
        <w:rPr>
          <w:rFonts w:cs="Times New Roman"/>
          <w:szCs w:val="24"/>
        </w:rPr>
      </w:pPr>
      <w:r>
        <w:rPr>
          <w:rFonts w:cs="Times New Roman"/>
          <w:szCs w:val="24"/>
        </w:rPr>
        <w:t xml:space="preserve">Sinambela, M., Simarmata, J., Sudirman, S., Suryani, S., Warni, E., Erna, A., Ramadhanin, F., Hardiyanti, S.A., Satria, A., Yuliansyah, H., dan others, 2024, </w:t>
      </w:r>
      <w:r>
        <w:rPr>
          <w:rFonts w:cs="Times New Roman"/>
          <w:i/>
          <w:iCs/>
          <w:szCs w:val="24"/>
        </w:rPr>
        <w:t>Deep Learning: Konsep dan Aplikasi</w:t>
      </w:r>
      <w:r>
        <w:rPr>
          <w:rFonts w:cs="Times New Roman"/>
          <w:szCs w:val="24"/>
        </w:rPr>
        <w:t>, Yayasan Kita Menulis.</w:t>
      </w:r>
    </w:p>
    <w:p w14:paraId="4D9E46C1">
      <w:pPr>
        <w:widowControl w:val="0"/>
        <w:autoSpaceDE w:val="0"/>
        <w:autoSpaceDN w:val="0"/>
        <w:adjustRightInd w:val="0"/>
        <w:spacing w:line="240" w:lineRule="auto"/>
        <w:ind w:left="851" w:hanging="851"/>
        <w:rPr>
          <w:rFonts w:cs="Times New Roman"/>
          <w:szCs w:val="24"/>
        </w:rPr>
      </w:pPr>
      <w:r>
        <w:rPr>
          <w:rFonts w:cs="Times New Roman"/>
          <w:szCs w:val="24"/>
        </w:rPr>
        <w:t xml:space="preserve">Stoean, C., Zivkovic, M., Bozovic, A., Bacanin, N., Strulak-Wójcikiewicz, R., Antonijevic, M., </w:t>
      </w:r>
      <w:r>
        <w:rPr>
          <w:rFonts w:cs="Times New Roman"/>
          <w:szCs w:val="24"/>
          <w:lang w:val="en-US"/>
        </w:rPr>
        <w:t>and</w:t>
      </w:r>
      <w:r>
        <w:rPr>
          <w:rFonts w:cs="Times New Roman"/>
          <w:szCs w:val="24"/>
        </w:rPr>
        <w:t xml:space="preserve"> Stoean, R., 2023, Metaheuristic-Based Hyperparameter Tuning for Recurrent Deep Learning: Application to the Prediction of Solar Energy Generation, </w:t>
      </w:r>
      <w:r>
        <w:rPr>
          <w:rFonts w:cs="Times New Roman"/>
          <w:i/>
          <w:iCs/>
          <w:szCs w:val="24"/>
        </w:rPr>
        <w:t>Axioms</w:t>
      </w:r>
      <w:r>
        <w:rPr>
          <w:rFonts w:cs="Times New Roman"/>
          <w:szCs w:val="24"/>
        </w:rPr>
        <w:t>, Vol. 12, no. 3, pp. 266.</w:t>
      </w:r>
    </w:p>
    <w:p w14:paraId="4C0D44D0">
      <w:pPr>
        <w:widowControl w:val="0"/>
        <w:autoSpaceDE w:val="0"/>
        <w:autoSpaceDN w:val="0"/>
        <w:adjustRightInd w:val="0"/>
        <w:spacing w:line="240" w:lineRule="auto"/>
        <w:ind w:left="851" w:hanging="851"/>
        <w:rPr>
          <w:rFonts w:cs="Times New Roman"/>
          <w:szCs w:val="24"/>
        </w:rPr>
      </w:pPr>
      <w:r>
        <w:rPr>
          <w:rFonts w:cs="Times New Roman"/>
          <w:szCs w:val="24"/>
        </w:rPr>
        <w:t xml:space="preserve">Supari, N., Tangang, F., Juneng, L., dan Aldrian, E., 2016, Observed Changes in Extreme Temperature and Precipitation Over Indonesia, </w:t>
      </w:r>
      <w:r>
        <w:rPr>
          <w:rFonts w:cs="Times New Roman"/>
          <w:i/>
          <w:iCs/>
          <w:szCs w:val="24"/>
        </w:rPr>
        <w:t>International Journal of Climatology</w:t>
      </w:r>
      <w:r>
        <w:rPr>
          <w:rFonts w:cs="Times New Roman"/>
          <w:szCs w:val="24"/>
        </w:rPr>
        <w:t>, Vol. 37, no. 4, pp. 1979–1997.</w:t>
      </w:r>
    </w:p>
    <w:p w14:paraId="3415AC37">
      <w:pPr>
        <w:widowControl w:val="0"/>
        <w:autoSpaceDE w:val="0"/>
        <w:autoSpaceDN w:val="0"/>
        <w:adjustRightInd w:val="0"/>
        <w:spacing w:line="240" w:lineRule="auto"/>
        <w:ind w:left="851" w:hanging="851"/>
        <w:rPr>
          <w:rFonts w:cs="Times New Roman"/>
          <w:szCs w:val="24"/>
        </w:rPr>
      </w:pPr>
      <w:r>
        <w:rPr>
          <w:rFonts w:cs="Times New Roman"/>
          <w:szCs w:val="24"/>
        </w:rPr>
        <w:t xml:space="preserve">Toneva, M., Sordoni, A., Combes, R.T. des, Trischler, A., Bengio, Y., </w:t>
      </w:r>
      <w:r>
        <w:rPr>
          <w:rFonts w:cs="Times New Roman"/>
          <w:szCs w:val="24"/>
          <w:lang w:val="en-US"/>
        </w:rPr>
        <w:t>and</w:t>
      </w:r>
      <w:r>
        <w:rPr>
          <w:rFonts w:cs="Times New Roman"/>
          <w:szCs w:val="24"/>
        </w:rPr>
        <w:t xml:space="preserve"> Gordon, G.J., 2018, An Empirical Study of Example Forgetting During Deep Neural Network Learning, .</w:t>
      </w:r>
    </w:p>
    <w:p w14:paraId="3E7C8CDA">
      <w:pPr>
        <w:widowControl w:val="0"/>
        <w:autoSpaceDE w:val="0"/>
        <w:autoSpaceDN w:val="0"/>
        <w:adjustRightInd w:val="0"/>
        <w:spacing w:line="240" w:lineRule="auto"/>
        <w:ind w:left="851" w:hanging="851"/>
        <w:rPr>
          <w:rFonts w:cs="Times New Roman"/>
          <w:szCs w:val="24"/>
        </w:rPr>
      </w:pPr>
      <w:r>
        <w:rPr>
          <w:rFonts w:cs="Times New Roman"/>
          <w:szCs w:val="24"/>
        </w:rPr>
        <w:t xml:space="preserve">Trojovská, E., Dehghani, M., </w:t>
      </w:r>
      <w:r>
        <w:rPr>
          <w:rFonts w:cs="Times New Roman"/>
          <w:szCs w:val="24"/>
          <w:lang w:val="en-US"/>
        </w:rPr>
        <w:t>and</w:t>
      </w:r>
      <w:r>
        <w:rPr>
          <w:rFonts w:cs="Times New Roman"/>
          <w:szCs w:val="24"/>
        </w:rPr>
        <w:t xml:space="preserve"> Trojovský, P., 2022, Fennec Fox Optimization: A New Nature-Inspired Optimization Algorithm, </w:t>
      </w:r>
      <w:r>
        <w:rPr>
          <w:rFonts w:cs="Times New Roman"/>
          <w:i/>
          <w:iCs/>
          <w:szCs w:val="24"/>
        </w:rPr>
        <w:t>Ieee Access</w:t>
      </w:r>
      <w:r>
        <w:rPr>
          <w:rFonts w:cs="Times New Roman"/>
          <w:szCs w:val="24"/>
        </w:rPr>
        <w:t>, Vol. 10, pp. 84417–84443.</w:t>
      </w:r>
    </w:p>
    <w:p w14:paraId="4B345CFD">
      <w:pPr>
        <w:widowControl w:val="0"/>
        <w:autoSpaceDE w:val="0"/>
        <w:autoSpaceDN w:val="0"/>
        <w:adjustRightInd w:val="0"/>
        <w:spacing w:line="240" w:lineRule="auto"/>
        <w:ind w:left="851" w:hanging="851"/>
        <w:rPr>
          <w:rFonts w:cs="Times New Roman"/>
          <w:szCs w:val="24"/>
        </w:rPr>
      </w:pPr>
      <w:r>
        <w:rPr>
          <w:rFonts w:cs="Times New Roman"/>
          <w:szCs w:val="24"/>
        </w:rPr>
        <w:t xml:space="preserve">Varshney, M., Kumar, P., Ali, M., dan Gulzar, Y., 2024, Dynamic Random Walk and Dynamic Opposition Learning for Improving Aquila Optimizer: Solving Constrained Engineering Design Problems, </w:t>
      </w:r>
      <w:r>
        <w:rPr>
          <w:rFonts w:cs="Times New Roman"/>
          <w:i/>
          <w:iCs/>
          <w:szCs w:val="24"/>
        </w:rPr>
        <w:t>Biomimetics</w:t>
      </w:r>
      <w:r>
        <w:rPr>
          <w:rFonts w:cs="Times New Roman"/>
          <w:szCs w:val="24"/>
        </w:rPr>
        <w:t>, Vol. 9, no. 4, pp. 215.</w:t>
      </w:r>
    </w:p>
    <w:p w14:paraId="32E02EED">
      <w:pPr>
        <w:widowControl w:val="0"/>
        <w:autoSpaceDE w:val="0"/>
        <w:autoSpaceDN w:val="0"/>
        <w:adjustRightInd w:val="0"/>
        <w:spacing w:line="240" w:lineRule="auto"/>
        <w:ind w:left="851" w:hanging="851"/>
        <w:rPr>
          <w:rFonts w:cs="Times New Roman"/>
          <w:szCs w:val="24"/>
        </w:rPr>
      </w:pPr>
      <w:r>
        <w:rPr>
          <w:rFonts w:cs="Times New Roman"/>
          <w:szCs w:val="24"/>
        </w:rPr>
        <w:t xml:space="preserve">Vaswani, A., Shazeer, N., Parmar, N., Uszkoreit, J., Jones, L., Gomez, A.N., Kaiser, Ł., </w:t>
      </w:r>
      <w:r>
        <w:rPr>
          <w:rFonts w:cs="Times New Roman"/>
          <w:szCs w:val="24"/>
          <w:lang w:val="en-US"/>
        </w:rPr>
        <w:t>and</w:t>
      </w:r>
      <w:r>
        <w:rPr>
          <w:rFonts w:cs="Times New Roman"/>
          <w:szCs w:val="24"/>
        </w:rPr>
        <w:t xml:space="preserve"> Polosukhin, I., 2017, Attention Is All You Need, .</w:t>
      </w:r>
    </w:p>
    <w:p w14:paraId="5D750BD8">
      <w:pPr>
        <w:widowControl w:val="0"/>
        <w:autoSpaceDE w:val="0"/>
        <w:autoSpaceDN w:val="0"/>
        <w:adjustRightInd w:val="0"/>
        <w:spacing w:line="240" w:lineRule="auto"/>
        <w:ind w:left="851" w:hanging="851"/>
        <w:rPr>
          <w:rFonts w:cs="Times New Roman"/>
          <w:szCs w:val="24"/>
        </w:rPr>
      </w:pPr>
      <w:r>
        <w:rPr>
          <w:rFonts w:cs="Times New Roman"/>
          <w:szCs w:val="24"/>
        </w:rPr>
        <w:t xml:space="preserve">Wana Paksi, L.M., Tubalawony, S., Waas, H.J.D., </w:t>
      </w:r>
      <w:r>
        <w:rPr>
          <w:rFonts w:cs="Times New Roman"/>
          <w:szCs w:val="24"/>
          <w:lang w:val="en-US"/>
        </w:rPr>
        <w:t>and</w:t>
      </w:r>
      <w:r>
        <w:rPr>
          <w:rFonts w:cs="Times New Roman"/>
          <w:szCs w:val="24"/>
        </w:rPr>
        <w:t xml:space="preserve"> Muthmainnah, K.R., 2023, The Impact of MJO-C and MJO-B Upon Sea Surface Temperature and Rainfall in Indonesia, </w:t>
      </w:r>
      <w:r>
        <w:rPr>
          <w:rFonts w:cs="Times New Roman"/>
          <w:i/>
          <w:iCs/>
          <w:szCs w:val="24"/>
        </w:rPr>
        <w:t>Omni-Akuatika</w:t>
      </w:r>
      <w:r>
        <w:rPr>
          <w:rFonts w:cs="Times New Roman"/>
          <w:szCs w:val="24"/>
        </w:rPr>
        <w:t>, Vol. 19, no. 1, pp. 69.</w:t>
      </w:r>
    </w:p>
    <w:p w14:paraId="6E543DD3">
      <w:pPr>
        <w:widowControl w:val="0"/>
        <w:autoSpaceDE w:val="0"/>
        <w:autoSpaceDN w:val="0"/>
        <w:adjustRightInd w:val="0"/>
        <w:spacing w:line="240" w:lineRule="auto"/>
        <w:ind w:left="851" w:hanging="851"/>
        <w:rPr>
          <w:rFonts w:cs="Times New Roman"/>
          <w:szCs w:val="24"/>
        </w:rPr>
      </w:pPr>
      <w:r>
        <w:rPr>
          <w:rFonts w:cs="Times New Roman"/>
          <w:szCs w:val="24"/>
        </w:rPr>
        <w:t xml:space="preserve">Wani, O.A., Mahdi, S.S., Yeasin, M., Kumar, S.S., Gagnon, A.S., Danish, F., Al-Ansari, N., El‑Hendawy, S., </w:t>
      </w:r>
      <w:r>
        <w:rPr>
          <w:rFonts w:cs="Times New Roman"/>
          <w:szCs w:val="24"/>
          <w:lang w:val="en-US"/>
        </w:rPr>
        <w:t>and</w:t>
      </w:r>
      <w:r>
        <w:rPr>
          <w:rFonts w:cs="Times New Roman"/>
          <w:szCs w:val="24"/>
        </w:rPr>
        <w:t xml:space="preserve"> Mattar, M.A., 2024, Predicting Rainfall Using Machine Learning, Deep Learning, and Time Series Models Across an Altitudinal Gradient in the North-Western Himalayas, </w:t>
      </w:r>
      <w:r>
        <w:rPr>
          <w:rFonts w:cs="Times New Roman"/>
          <w:i/>
          <w:iCs/>
          <w:szCs w:val="24"/>
        </w:rPr>
        <w:t>Scientific Reports</w:t>
      </w:r>
      <w:r>
        <w:rPr>
          <w:rFonts w:cs="Times New Roman"/>
          <w:szCs w:val="24"/>
        </w:rPr>
        <w:t>, Vol. 14, no. 1.</w:t>
      </w:r>
    </w:p>
    <w:p w14:paraId="30D4B81F">
      <w:pPr>
        <w:widowControl w:val="0"/>
        <w:autoSpaceDE w:val="0"/>
        <w:autoSpaceDN w:val="0"/>
        <w:adjustRightInd w:val="0"/>
        <w:spacing w:line="240" w:lineRule="auto"/>
        <w:ind w:left="851" w:hanging="851"/>
        <w:rPr>
          <w:rFonts w:cs="Times New Roman"/>
          <w:szCs w:val="24"/>
        </w:rPr>
      </w:pPr>
      <w:r>
        <w:rPr>
          <w:rFonts w:cs="Times New Roman"/>
          <w:szCs w:val="24"/>
        </w:rPr>
        <w:t xml:space="preserve">Winger, T., Chellamuthu, V., Guzenko, D., Aloia, M.S., Barr, S., DeFranco, S., Gorski, B., Mushtaq, F., </w:t>
      </w:r>
      <w:r>
        <w:rPr>
          <w:rFonts w:cs="Times New Roman"/>
          <w:szCs w:val="24"/>
          <w:lang w:val="en-US"/>
        </w:rPr>
        <w:t>and</w:t>
      </w:r>
      <w:r>
        <w:rPr>
          <w:rFonts w:cs="Times New Roman"/>
          <w:szCs w:val="24"/>
        </w:rPr>
        <w:t xml:space="preserve"> Garcia‐Molina, G., 2024, Fine Tuned Personalized Machine Learning Models to Detect Insomnia Risk Based on Data From a Smart Bed Platform, </w:t>
      </w:r>
      <w:r>
        <w:rPr>
          <w:rFonts w:cs="Times New Roman"/>
          <w:i/>
          <w:iCs/>
          <w:szCs w:val="24"/>
        </w:rPr>
        <w:t>Frontiers in Neurology</w:t>
      </w:r>
      <w:r>
        <w:rPr>
          <w:rFonts w:cs="Times New Roman"/>
          <w:szCs w:val="24"/>
        </w:rPr>
        <w:t>, Vol. 15.</w:t>
      </w:r>
    </w:p>
    <w:p w14:paraId="6BA84976">
      <w:pPr>
        <w:widowControl w:val="0"/>
        <w:autoSpaceDE w:val="0"/>
        <w:autoSpaceDN w:val="0"/>
        <w:adjustRightInd w:val="0"/>
        <w:spacing w:line="240" w:lineRule="auto"/>
        <w:ind w:left="851" w:hanging="851"/>
        <w:rPr>
          <w:rFonts w:cs="Times New Roman"/>
          <w:szCs w:val="24"/>
        </w:rPr>
      </w:pPr>
      <w:r>
        <w:rPr>
          <w:rFonts w:cs="Times New Roman"/>
          <w:szCs w:val="24"/>
        </w:rPr>
        <w:t xml:space="preserve">Wolpert, D.H., </w:t>
      </w:r>
      <w:r>
        <w:rPr>
          <w:rFonts w:cs="Times New Roman"/>
          <w:szCs w:val="24"/>
          <w:lang w:val="en-US"/>
        </w:rPr>
        <w:t>and</w:t>
      </w:r>
      <w:r>
        <w:rPr>
          <w:rFonts w:cs="Times New Roman"/>
          <w:szCs w:val="24"/>
        </w:rPr>
        <w:t xml:space="preserve"> Macready, W.G., 1997, No free lunch theorems for optimization, </w:t>
      </w:r>
      <w:r>
        <w:rPr>
          <w:rFonts w:cs="Times New Roman"/>
          <w:i/>
          <w:iCs/>
          <w:szCs w:val="24"/>
        </w:rPr>
        <w:t>IEEE Transactions on Evolutionary Computation</w:t>
      </w:r>
      <w:r>
        <w:rPr>
          <w:rFonts w:cs="Times New Roman"/>
          <w:szCs w:val="24"/>
        </w:rPr>
        <w:t>, Vol. 1, no. 1, pp. 67–82.</w:t>
      </w:r>
    </w:p>
    <w:p w14:paraId="321729A8">
      <w:pPr>
        <w:widowControl w:val="0"/>
        <w:autoSpaceDE w:val="0"/>
        <w:autoSpaceDN w:val="0"/>
        <w:adjustRightInd w:val="0"/>
        <w:spacing w:line="240" w:lineRule="auto"/>
        <w:ind w:left="851" w:hanging="851"/>
        <w:rPr>
          <w:rFonts w:cs="Times New Roman"/>
          <w:szCs w:val="24"/>
        </w:rPr>
      </w:pPr>
      <w:r>
        <w:rPr>
          <w:rFonts w:cs="Times New Roman"/>
          <w:szCs w:val="24"/>
        </w:rPr>
        <w:t>World Meteorological Organization (WMO), 2023, Guidelines on Automatic Weather Stations, .</w:t>
      </w:r>
    </w:p>
    <w:p w14:paraId="3DA5DA30">
      <w:pPr>
        <w:widowControl w:val="0"/>
        <w:autoSpaceDE w:val="0"/>
        <w:autoSpaceDN w:val="0"/>
        <w:adjustRightInd w:val="0"/>
        <w:spacing w:line="240" w:lineRule="auto"/>
        <w:ind w:left="851" w:hanging="851"/>
        <w:rPr>
          <w:rFonts w:cs="Times New Roman"/>
          <w:szCs w:val="24"/>
        </w:rPr>
      </w:pPr>
      <w:r>
        <w:rPr>
          <w:rFonts w:cs="Times New Roman"/>
          <w:szCs w:val="24"/>
        </w:rPr>
        <w:t xml:space="preserve">Yang, X.-S., 2012, Flower Pollination Algorithm for Global Optimization, </w:t>
      </w:r>
      <w:r>
        <w:rPr>
          <w:rFonts w:cs="Times New Roman"/>
          <w:i/>
          <w:iCs/>
          <w:szCs w:val="24"/>
        </w:rPr>
        <w:t>Lecture Notes in Computer Science</w:t>
      </w:r>
      <w:r>
        <w:rPr>
          <w:rFonts w:cs="Times New Roman"/>
          <w:szCs w:val="24"/>
        </w:rPr>
        <w:t>, pp. 240–249.</w:t>
      </w:r>
    </w:p>
    <w:p w14:paraId="1EB03A35">
      <w:pPr>
        <w:widowControl w:val="0"/>
        <w:autoSpaceDE w:val="0"/>
        <w:autoSpaceDN w:val="0"/>
        <w:adjustRightInd w:val="0"/>
        <w:spacing w:line="240" w:lineRule="auto"/>
        <w:ind w:left="851" w:hanging="851"/>
        <w:rPr>
          <w:rFonts w:cs="Times New Roman"/>
          <w:szCs w:val="24"/>
        </w:rPr>
      </w:pPr>
      <w:r>
        <w:rPr>
          <w:rFonts w:cs="Times New Roman"/>
          <w:szCs w:val="24"/>
        </w:rPr>
        <w:t xml:space="preserve">Yang, X.-S., Deb, S., </w:t>
      </w:r>
      <w:r>
        <w:rPr>
          <w:rFonts w:cs="Times New Roman"/>
          <w:szCs w:val="24"/>
          <w:lang w:val="en-US"/>
        </w:rPr>
        <w:t>and</w:t>
      </w:r>
      <w:r>
        <w:rPr>
          <w:rFonts w:cs="Times New Roman"/>
          <w:szCs w:val="24"/>
        </w:rPr>
        <w:t xml:space="preserve"> Fong, S., 2014, Metaheuristic Algorithms: Optimal Balance of Intensification and Diversification, </w:t>
      </w:r>
      <w:r>
        <w:rPr>
          <w:rFonts w:cs="Times New Roman"/>
          <w:i/>
          <w:iCs/>
          <w:szCs w:val="24"/>
        </w:rPr>
        <w:t>Applied Mathematics &amp;Amp; Information Sciences</w:t>
      </w:r>
      <w:r>
        <w:rPr>
          <w:rFonts w:cs="Times New Roman"/>
          <w:szCs w:val="24"/>
        </w:rPr>
        <w:t>, Vol. 8, no. 3, pp. 977–983.</w:t>
      </w:r>
    </w:p>
    <w:p w14:paraId="69B5C3C4">
      <w:pPr>
        <w:widowControl w:val="0"/>
        <w:autoSpaceDE w:val="0"/>
        <w:autoSpaceDN w:val="0"/>
        <w:adjustRightInd w:val="0"/>
        <w:spacing w:line="240" w:lineRule="auto"/>
        <w:ind w:left="851" w:hanging="851"/>
        <w:rPr>
          <w:rFonts w:cs="Times New Roman"/>
          <w:szCs w:val="24"/>
        </w:rPr>
      </w:pPr>
      <w:r>
        <w:rPr>
          <w:rFonts w:cs="Times New Roman"/>
          <w:szCs w:val="24"/>
        </w:rPr>
        <w:t xml:space="preserve">Yang, X.S., 2014, </w:t>
      </w:r>
      <w:r>
        <w:rPr>
          <w:rFonts w:cs="Times New Roman"/>
          <w:i/>
          <w:iCs/>
          <w:szCs w:val="24"/>
        </w:rPr>
        <w:t>Nature-Inspired Optimization Algorithms</w:t>
      </w:r>
      <w:r>
        <w:rPr>
          <w:rFonts w:cs="Times New Roman"/>
          <w:szCs w:val="24"/>
        </w:rPr>
        <w:t>, Elsevier Inc., p. 1–263.</w:t>
      </w:r>
    </w:p>
    <w:p w14:paraId="7D241F19">
      <w:pPr>
        <w:widowControl w:val="0"/>
        <w:autoSpaceDE w:val="0"/>
        <w:autoSpaceDN w:val="0"/>
        <w:adjustRightInd w:val="0"/>
        <w:spacing w:line="240" w:lineRule="auto"/>
        <w:ind w:left="851" w:hanging="851"/>
        <w:rPr>
          <w:rFonts w:cs="Times New Roman"/>
          <w:szCs w:val="24"/>
        </w:rPr>
      </w:pPr>
      <w:r>
        <w:rPr>
          <w:rFonts w:cs="Times New Roman"/>
          <w:szCs w:val="24"/>
        </w:rPr>
        <w:t xml:space="preserve">Yaseen, Z.M., Ali, M., Sharafati, A., Al-Ansari, N., </w:t>
      </w:r>
      <w:r>
        <w:rPr>
          <w:rFonts w:cs="Times New Roman"/>
          <w:szCs w:val="24"/>
          <w:lang w:val="en-US"/>
        </w:rPr>
        <w:t>and</w:t>
      </w:r>
      <w:r>
        <w:rPr>
          <w:rFonts w:cs="Times New Roman"/>
          <w:szCs w:val="24"/>
        </w:rPr>
        <w:t xml:space="preserve"> Shahid, S., 2021, Forecasting Standardized Precipitation Index Using Data Intelligence Models: Regional Investigation of Bangladesh, </w:t>
      </w:r>
      <w:r>
        <w:rPr>
          <w:rFonts w:cs="Times New Roman"/>
          <w:i/>
          <w:iCs/>
          <w:szCs w:val="24"/>
        </w:rPr>
        <w:t>Scientific Reports</w:t>
      </w:r>
      <w:r>
        <w:rPr>
          <w:rFonts w:cs="Times New Roman"/>
          <w:szCs w:val="24"/>
        </w:rPr>
        <w:t>, Vol. 11, no. 1.</w:t>
      </w:r>
    </w:p>
    <w:p w14:paraId="6DCA0DAC">
      <w:pPr>
        <w:widowControl w:val="0"/>
        <w:autoSpaceDE w:val="0"/>
        <w:autoSpaceDN w:val="0"/>
        <w:adjustRightInd w:val="0"/>
        <w:spacing w:line="240" w:lineRule="auto"/>
        <w:ind w:left="851" w:hanging="851"/>
        <w:rPr>
          <w:rFonts w:cs="Times New Roman"/>
          <w:szCs w:val="24"/>
        </w:rPr>
      </w:pPr>
      <w:r>
        <w:rPr>
          <w:rFonts w:cs="Times New Roman"/>
          <w:szCs w:val="24"/>
        </w:rPr>
        <w:t xml:space="preserve">Yulianingsani, Sulistyowati, R., Meliani, F., Sapan, E.G.A., Winarno, Lestari, S., Cahyaningtiyas, I.F., Pianto, T.A., Akbar, H.I., Nurdiansyah, Hermansyah, H., </w:t>
      </w:r>
      <w:r>
        <w:rPr>
          <w:rFonts w:cs="Times New Roman"/>
          <w:szCs w:val="24"/>
          <w:lang w:val="en-US"/>
        </w:rPr>
        <w:t>and</w:t>
      </w:r>
      <w:r>
        <w:rPr>
          <w:rFonts w:cs="Times New Roman"/>
          <w:szCs w:val="24"/>
        </w:rPr>
        <w:t xml:space="preserve"> Azmanajaya, E., 2025, Spatio-temporal of climate extreme rainfall variability over the Nusantara Capital City of Indonesia (IKN), </w:t>
      </w:r>
      <w:r>
        <w:rPr>
          <w:rFonts w:cs="Times New Roman"/>
          <w:i/>
          <w:iCs/>
          <w:szCs w:val="24"/>
        </w:rPr>
        <w:t>IOP Conference Series: Earth and Environmental Science</w:t>
      </w:r>
      <w:r>
        <w:rPr>
          <w:rFonts w:cs="Times New Roman"/>
          <w:szCs w:val="24"/>
        </w:rPr>
        <w:t>, Vol. 1490, no. 1, pp. 12050, IOP Publishing.</w:t>
      </w:r>
    </w:p>
    <w:p w14:paraId="7B7B689B">
      <w:pPr>
        <w:widowControl w:val="0"/>
        <w:autoSpaceDE w:val="0"/>
        <w:autoSpaceDN w:val="0"/>
        <w:adjustRightInd w:val="0"/>
        <w:spacing w:line="240" w:lineRule="auto"/>
        <w:ind w:left="851" w:hanging="851"/>
        <w:rPr>
          <w:rFonts w:cs="Times New Roman"/>
          <w:szCs w:val="24"/>
        </w:rPr>
      </w:pPr>
      <w:r>
        <w:rPr>
          <w:rFonts w:cs="Times New Roman"/>
          <w:szCs w:val="24"/>
        </w:rPr>
        <w:t xml:space="preserve">Zeng, A., Chen, M., Zhang, L., </w:t>
      </w:r>
      <w:r>
        <w:rPr>
          <w:rFonts w:cs="Times New Roman"/>
          <w:szCs w:val="24"/>
          <w:lang w:val="en-US"/>
        </w:rPr>
        <w:t>and</w:t>
      </w:r>
      <w:r>
        <w:rPr>
          <w:rFonts w:cs="Times New Roman"/>
          <w:szCs w:val="24"/>
        </w:rPr>
        <w:t xml:space="preserve"> Xu, Q., 2023, Are Transformers Effective for Time Series Forecasting?, </w:t>
      </w:r>
      <w:r>
        <w:rPr>
          <w:rFonts w:cs="Times New Roman"/>
          <w:i/>
          <w:iCs/>
          <w:szCs w:val="24"/>
        </w:rPr>
        <w:t>Proceedings of the AAAI Conference on Artificial Intelligence</w:t>
      </w:r>
      <w:r>
        <w:rPr>
          <w:rFonts w:cs="Times New Roman"/>
          <w:szCs w:val="24"/>
        </w:rPr>
        <w:t>, Vol. 37, no. 9, pp. 11121–11128.</w:t>
      </w:r>
    </w:p>
    <w:p w14:paraId="4868FC84">
      <w:pPr>
        <w:widowControl w:val="0"/>
        <w:autoSpaceDE w:val="0"/>
        <w:autoSpaceDN w:val="0"/>
        <w:adjustRightInd w:val="0"/>
        <w:spacing w:line="240" w:lineRule="auto"/>
        <w:ind w:left="851" w:hanging="851"/>
        <w:rPr>
          <w:rFonts w:cs="Times New Roman"/>
          <w:szCs w:val="24"/>
        </w:rPr>
      </w:pPr>
      <w:r>
        <w:rPr>
          <w:rFonts w:cs="Times New Roman"/>
          <w:szCs w:val="24"/>
        </w:rPr>
        <w:t xml:space="preserve">Zhang, J., </w:t>
      </w:r>
      <w:r>
        <w:rPr>
          <w:rFonts w:cs="Times New Roman"/>
          <w:szCs w:val="24"/>
          <w:lang w:val="en-US"/>
        </w:rPr>
        <w:t>and</w:t>
      </w:r>
      <w:r>
        <w:rPr>
          <w:rFonts w:cs="Times New Roman"/>
          <w:szCs w:val="24"/>
        </w:rPr>
        <w:t xml:space="preserve"> Sanderson, A.C., 2009, JADE: Adaptive Differential Evolution With Optional External Archive, </w:t>
      </w:r>
      <w:r>
        <w:rPr>
          <w:rFonts w:cs="Times New Roman"/>
          <w:i/>
          <w:iCs/>
          <w:szCs w:val="24"/>
        </w:rPr>
        <w:t>IEEE Transactions on Evolutionary Computation</w:t>
      </w:r>
      <w:r>
        <w:rPr>
          <w:rFonts w:cs="Times New Roman"/>
          <w:szCs w:val="24"/>
        </w:rPr>
        <w:t>, Vol. 13, no. 5, pp. 945–958.</w:t>
      </w:r>
    </w:p>
    <w:p w14:paraId="7EAC37AE">
      <w:pPr>
        <w:widowControl w:val="0"/>
        <w:autoSpaceDE w:val="0"/>
        <w:autoSpaceDN w:val="0"/>
        <w:adjustRightInd w:val="0"/>
        <w:spacing w:line="240" w:lineRule="auto"/>
        <w:ind w:left="851" w:hanging="851"/>
        <w:rPr>
          <w:rFonts w:cs="Times New Roman"/>
          <w:szCs w:val="24"/>
        </w:rPr>
      </w:pPr>
      <w:r>
        <w:rPr>
          <w:rFonts w:cs="Times New Roman"/>
          <w:szCs w:val="24"/>
        </w:rPr>
        <w:t xml:space="preserve">Zhou, B., Liu, A., </w:t>
      </w:r>
      <w:r>
        <w:rPr>
          <w:rFonts w:cs="Times New Roman"/>
          <w:szCs w:val="24"/>
          <w:lang w:val="en-US"/>
        </w:rPr>
        <w:t>and</w:t>
      </w:r>
      <w:r>
        <w:rPr>
          <w:rFonts w:cs="Times New Roman"/>
          <w:szCs w:val="24"/>
        </w:rPr>
        <w:t xml:space="preserve"> Lau, V., 2019, Joint User Location and Orientation Estimation for Visible Light Communication Systems With Unknown Power Emission, </w:t>
      </w:r>
      <w:r>
        <w:rPr>
          <w:rFonts w:cs="Times New Roman"/>
          <w:i/>
          <w:iCs/>
          <w:szCs w:val="24"/>
        </w:rPr>
        <w:t>IEEE Transactions on Wireless Communications</w:t>
      </w:r>
      <w:r>
        <w:rPr>
          <w:rFonts w:cs="Times New Roman"/>
          <w:szCs w:val="24"/>
        </w:rPr>
        <w:t>, Vol. 18, no. 11, pp. 5181–5195.</w:t>
      </w:r>
    </w:p>
    <w:p w14:paraId="2FE10559">
      <w:pPr>
        <w:widowControl w:val="0"/>
        <w:autoSpaceDE w:val="0"/>
        <w:autoSpaceDN w:val="0"/>
        <w:adjustRightInd w:val="0"/>
        <w:spacing w:line="240" w:lineRule="auto"/>
        <w:ind w:left="851" w:hanging="851"/>
        <w:rPr>
          <w:rFonts w:cs="Times New Roman"/>
          <w:szCs w:val="24"/>
        </w:rPr>
      </w:pPr>
      <w:r>
        <w:rPr>
          <w:rFonts w:cs="Times New Roman"/>
          <w:szCs w:val="24"/>
        </w:rPr>
        <w:t xml:space="preserve">Zhou, D., Li, L., </w:t>
      </w:r>
      <w:r>
        <w:rPr>
          <w:rFonts w:cs="Times New Roman"/>
          <w:szCs w:val="24"/>
          <w:lang w:val="en-US"/>
        </w:rPr>
        <w:t>and</w:t>
      </w:r>
      <w:r>
        <w:rPr>
          <w:rFonts w:cs="Times New Roman"/>
          <w:szCs w:val="24"/>
        </w:rPr>
        <w:t xml:space="preserve"> Gu, Q., 2020, </w:t>
      </w:r>
      <w:r>
        <w:rPr>
          <w:rFonts w:cs="Times New Roman"/>
          <w:i/>
          <w:iCs/>
          <w:szCs w:val="24"/>
        </w:rPr>
        <w:t>Neural Contextual Bandits with UCB-based Exploration</w:t>
      </w:r>
      <w:r>
        <w:rPr>
          <w:rFonts w:cs="Times New Roman"/>
          <w:szCs w:val="24"/>
        </w:rPr>
        <w:t>, https://arxiv.org/abs/1911.04462.</w:t>
      </w:r>
    </w:p>
    <w:p w14:paraId="6696F9FA">
      <w:pPr>
        <w:widowControl w:val="0"/>
        <w:autoSpaceDE w:val="0"/>
        <w:autoSpaceDN w:val="0"/>
        <w:adjustRightInd w:val="0"/>
        <w:spacing w:line="240" w:lineRule="auto"/>
        <w:ind w:left="851" w:hanging="851"/>
        <w:rPr>
          <w:rFonts w:cs="Times New Roman"/>
          <w:szCs w:val="24"/>
        </w:rPr>
      </w:pPr>
      <w:r>
        <w:rPr>
          <w:rFonts w:cs="Times New Roman"/>
          <w:szCs w:val="24"/>
        </w:rPr>
        <w:t xml:space="preserve">Zhou, Z., Chen, S., Li, Z., </w:t>
      </w:r>
      <w:r>
        <w:rPr>
          <w:rFonts w:cs="Times New Roman"/>
          <w:szCs w:val="24"/>
          <w:lang w:val="en-US"/>
        </w:rPr>
        <w:t>and</w:t>
      </w:r>
      <w:r>
        <w:rPr>
          <w:rFonts w:cs="Times New Roman"/>
          <w:szCs w:val="24"/>
        </w:rPr>
        <w:t xml:space="preserve"> Luo, Y., 2023, An Evaluation of CRA40 and ERA5 Precipitation Products Over China, </w:t>
      </w:r>
      <w:r>
        <w:rPr>
          <w:rFonts w:cs="Times New Roman"/>
          <w:i/>
          <w:iCs/>
          <w:szCs w:val="24"/>
        </w:rPr>
        <w:t>Remote Sensing</w:t>
      </w:r>
      <w:r>
        <w:rPr>
          <w:rFonts w:cs="Times New Roman"/>
          <w:szCs w:val="24"/>
        </w:rPr>
        <w:t>, Vol. 15, no. 22, pp. 5300.</w:t>
      </w:r>
    </w:p>
    <w:p w14:paraId="4900D312">
      <w:pPr>
        <w:widowControl w:val="0"/>
        <w:autoSpaceDE w:val="0"/>
        <w:autoSpaceDN w:val="0"/>
        <w:adjustRightInd w:val="0"/>
        <w:spacing w:line="240" w:lineRule="auto"/>
        <w:ind w:left="851" w:hanging="851"/>
        <w:rPr>
          <w:rFonts w:cs="Times New Roman"/>
          <w:szCs w:val="24"/>
        </w:rPr>
      </w:pPr>
      <w:r>
        <w:rPr>
          <w:rFonts w:cs="Times New Roman"/>
          <w:szCs w:val="24"/>
        </w:rPr>
        <w:t xml:space="preserve">Zhu, Q., Guo, D., Ruan, R., Chai, Z., Wang, C., </w:t>
      </w:r>
      <w:r>
        <w:rPr>
          <w:rFonts w:cs="Times New Roman"/>
          <w:szCs w:val="24"/>
          <w:lang w:val="en-US"/>
        </w:rPr>
        <w:t>and</w:t>
      </w:r>
      <w:r>
        <w:rPr>
          <w:rFonts w:cs="Times New Roman"/>
          <w:szCs w:val="24"/>
        </w:rPr>
        <w:t xml:space="preserve"> Guan, Z., 2025, The Emergency Control Method for Multi-Scenario Sub-Synchronous Oscillation in Wind Power Grid Integration Systems Based on Transfer Learning, </w:t>
      </w:r>
      <w:r>
        <w:rPr>
          <w:rFonts w:cs="Times New Roman"/>
          <w:i/>
          <w:iCs/>
          <w:szCs w:val="24"/>
        </w:rPr>
        <w:t>Energy Engineering</w:t>
      </w:r>
      <w:r>
        <w:rPr>
          <w:rFonts w:cs="Times New Roman"/>
          <w:szCs w:val="24"/>
        </w:rPr>
        <w:t>, Vol. 122, pp. 3133–3154.</w:t>
      </w:r>
    </w:p>
    <w:p w14:paraId="3FAE3EEB">
      <w:pPr>
        <w:widowControl w:val="0"/>
        <w:autoSpaceDE w:val="0"/>
        <w:autoSpaceDN w:val="0"/>
        <w:adjustRightInd w:val="0"/>
        <w:spacing w:line="240" w:lineRule="auto"/>
        <w:ind w:left="851" w:hanging="851"/>
        <w:rPr>
          <w:rFonts w:cs="Times New Roman"/>
        </w:rPr>
      </w:pPr>
      <w:r>
        <w:rPr>
          <w:rFonts w:cs="Times New Roman"/>
          <w:szCs w:val="24"/>
        </w:rPr>
        <w:t xml:space="preserve">Zlobin, M., </w:t>
      </w:r>
      <w:r>
        <w:rPr>
          <w:rFonts w:cs="Times New Roman"/>
          <w:szCs w:val="24"/>
          <w:lang w:val="en-US"/>
        </w:rPr>
        <w:t>and</w:t>
      </w:r>
      <w:r>
        <w:rPr>
          <w:rFonts w:cs="Times New Roman"/>
          <w:szCs w:val="24"/>
        </w:rPr>
        <w:t xml:space="preserve"> Bazylevych, V., 2025, Bayesian Optimization for Tuning Hyperparametrs of Machine Learning Models: A Performance Analysis in Xgboost, </w:t>
      </w:r>
      <w:r>
        <w:rPr>
          <w:rFonts w:cs="Times New Roman"/>
          <w:i/>
          <w:iCs/>
          <w:szCs w:val="24"/>
        </w:rPr>
        <w:t>Computer Systems and Information Technologies</w:t>
      </w:r>
      <w:r>
        <w:rPr>
          <w:rFonts w:cs="Times New Roman"/>
          <w:szCs w:val="24"/>
        </w:rPr>
        <w:t>, no. 1, pp. 141–146.</w:t>
      </w:r>
    </w:p>
    <w:p w14:paraId="3CF200E9">
      <w:pPr>
        <w:widowControl w:val="0"/>
        <w:autoSpaceDE w:val="0"/>
        <w:autoSpaceDN w:val="0"/>
        <w:adjustRightInd w:val="0"/>
        <w:spacing w:line="240" w:lineRule="auto"/>
        <w:ind w:left="851" w:hanging="851"/>
        <w:rPr>
          <w:lang w:val="en-US"/>
        </w:rPr>
        <w:sectPr>
          <w:pgSz w:w="11906" w:h="16838"/>
          <w:pgMar w:top="1701" w:right="1701" w:bottom="1701" w:left="2275" w:header="708" w:footer="708" w:gutter="0"/>
          <w:cols w:space="708" w:num="1"/>
          <w:titlePg/>
          <w:docGrid w:linePitch="360" w:charSpace="0"/>
        </w:sectPr>
      </w:pPr>
      <w:r>
        <w:rPr>
          <w:lang w:val="en-US"/>
        </w:rPr>
        <w:fldChar w:fldCharType="end"/>
      </w:r>
    </w:p>
    <w:p w14:paraId="2B19B281">
      <w:pPr>
        <w:pStyle w:val="2"/>
      </w:pPr>
      <w:bookmarkStart w:id="158" w:name="_Toc236076780"/>
      <w:r>
        <w:t>LAMPIRAN</w:t>
      </w:r>
      <w:bookmarkEnd w:id="158"/>
    </w:p>
    <w:p w14:paraId="13E1B9C3">
      <w:pPr>
        <w:pStyle w:val="11"/>
        <w:rPr>
          <w:b/>
          <w:i w:val="0"/>
          <w:color w:val="auto"/>
          <w:sz w:val="24"/>
          <w:lang w:val="en-US"/>
        </w:rPr>
      </w:pPr>
      <w:bookmarkStart w:id="159" w:name="_Toc236213076"/>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1</w:t>
      </w:r>
      <w:r>
        <w:rPr>
          <w:b/>
          <w:i w:val="0"/>
          <w:color w:val="auto"/>
          <w:sz w:val="24"/>
        </w:rPr>
        <w:fldChar w:fldCharType="end"/>
      </w:r>
      <w:r>
        <w:rPr>
          <w:b/>
          <w:i w:val="0"/>
          <w:color w:val="auto"/>
          <w:sz w:val="24"/>
        </w:rPr>
        <w:tab/>
      </w:r>
      <w:r>
        <w:rPr>
          <w:b/>
          <w:i w:val="0"/>
          <w:color w:val="auto"/>
          <w:sz w:val="24"/>
          <w:lang w:val="en-US"/>
        </w:rPr>
        <w:t xml:space="preserve">Daftar </w:t>
      </w:r>
      <w:r>
        <w:rPr>
          <w:b/>
          <w:i w:val="0"/>
          <w:color w:val="auto"/>
          <w:sz w:val="24"/>
        </w:rPr>
        <w:t>Riwayat</w:t>
      </w:r>
      <w:r>
        <w:rPr>
          <w:b/>
          <w:i w:val="0"/>
          <w:color w:val="auto"/>
          <w:sz w:val="24"/>
          <w:lang w:val="en-US"/>
        </w:rPr>
        <w:t xml:space="preserve"> Hidup</w:t>
      </w:r>
      <w:bookmarkEnd w:id="159"/>
    </w:p>
    <w:p w14:paraId="55A01879">
      <w:pPr>
        <w:jc w:val="center"/>
        <w:rPr>
          <w:b/>
          <w:u w:val="single"/>
          <w:lang w:val="en-US"/>
        </w:rPr>
      </w:pPr>
      <w:r>
        <w:rPr>
          <w:b/>
          <w:u w:val="single"/>
          <w:lang w:val="en-US"/>
        </w:rPr>
        <w:t>DAFTAR RIWAYAT HIDUP</w:t>
      </w:r>
    </w:p>
    <w:p w14:paraId="79D7C15B">
      <w:pPr>
        <w:rPr>
          <w:b/>
          <w:u w:val="single"/>
          <w:lang w:val="en-US"/>
        </w:rPr>
      </w:pPr>
      <w:r>
        <w:rPr>
          <w:b/>
          <w:u w:val="single"/>
          <w:lang w:val="en-US"/>
        </w:rPr>
        <w:t>Data Diri</w:t>
      </w:r>
    </w:p>
    <w:p w14:paraId="6521B35F">
      <w:pPr>
        <w:tabs>
          <w:tab w:val="left" w:pos="2694"/>
        </w:tabs>
        <w:spacing w:line="240" w:lineRule="auto"/>
        <w:rPr>
          <w:lang w:val="en-US"/>
        </w:rPr>
      </w:pPr>
      <w:r>
        <w:rPr>
          <w:lang w:val="en-US"/>
        </w:rPr>
        <w:t>Nama</w:t>
      </w:r>
      <w:r>
        <w:rPr>
          <w:lang w:val="en-US"/>
        </w:rPr>
        <w:tab/>
      </w:r>
      <w:r>
        <w:rPr>
          <w:lang w:val="en-US"/>
        </w:rPr>
        <w:t>: Tonny Wahyu Aji</w:t>
      </w:r>
    </w:p>
    <w:p w14:paraId="58EB3254">
      <w:pPr>
        <w:tabs>
          <w:tab w:val="left" w:pos="2694"/>
        </w:tabs>
        <w:spacing w:line="240" w:lineRule="auto"/>
        <w:rPr>
          <w:lang w:val="en-US"/>
        </w:rPr>
      </w:pPr>
      <w:r>
        <w:rPr>
          <w:lang w:val="en-US"/>
        </w:rPr>
        <w:t>Tempat, Tanggal Lahir</w:t>
      </w:r>
      <w:r>
        <w:rPr>
          <w:lang w:val="en-US"/>
        </w:rPr>
        <w:tab/>
      </w:r>
      <w:r>
        <w:rPr>
          <w:lang w:val="en-US"/>
        </w:rPr>
        <w:t>: Nganjuk, 23 Mei 2000</w:t>
      </w:r>
    </w:p>
    <w:p w14:paraId="51F6B328">
      <w:pPr>
        <w:tabs>
          <w:tab w:val="left" w:pos="2694"/>
        </w:tabs>
        <w:spacing w:line="240" w:lineRule="auto"/>
        <w:rPr>
          <w:lang w:val="en-US"/>
        </w:rPr>
      </w:pPr>
      <w:r>
        <w:rPr>
          <w:lang w:val="en-US"/>
        </w:rPr>
        <w:t>Jenis Kelamin</w:t>
      </w:r>
      <w:r>
        <w:rPr>
          <w:lang w:val="en-US"/>
        </w:rPr>
        <w:tab/>
      </w:r>
      <w:r>
        <w:rPr>
          <w:lang w:val="en-US"/>
        </w:rPr>
        <w:t>: Laki-laki</w:t>
      </w:r>
    </w:p>
    <w:p w14:paraId="0043DBEE">
      <w:pPr>
        <w:tabs>
          <w:tab w:val="left" w:pos="2694"/>
        </w:tabs>
        <w:spacing w:line="240" w:lineRule="auto"/>
        <w:rPr>
          <w:lang w:val="en-US"/>
        </w:rPr>
      </w:pPr>
      <w:r>
        <w:rPr>
          <w:lang w:val="en-US"/>
        </w:rPr>
        <w:t>Kewarganegaraan</w:t>
      </w:r>
      <w:r>
        <w:rPr>
          <w:lang w:val="en-US"/>
        </w:rPr>
        <w:tab/>
      </w:r>
      <w:r>
        <w:rPr>
          <w:lang w:val="en-US"/>
        </w:rPr>
        <w:t>: Indonesia</w:t>
      </w:r>
    </w:p>
    <w:p w14:paraId="4658D722">
      <w:pPr>
        <w:tabs>
          <w:tab w:val="left" w:pos="2694"/>
        </w:tabs>
        <w:spacing w:line="240" w:lineRule="auto"/>
        <w:rPr>
          <w:lang w:val="en-US"/>
        </w:rPr>
      </w:pPr>
      <w:r>
        <w:rPr>
          <w:lang w:val="en-US"/>
        </w:rPr>
        <w:t>Agama</w:t>
      </w:r>
      <w:r>
        <w:rPr>
          <w:lang w:val="en-US"/>
        </w:rPr>
        <w:tab/>
      </w:r>
      <w:r>
        <w:rPr>
          <w:lang w:val="en-US"/>
        </w:rPr>
        <w:t>: Islam</w:t>
      </w:r>
    </w:p>
    <w:p w14:paraId="59420A7E">
      <w:pPr>
        <w:tabs>
          <w:tab w:val="left" w:pos="2694"/>
        </w:tabs>
        <w:spacing w:line="240" w:lineRule="auto"/>
        <w:rPr>
          <w:lang w:val="en-US"/>
        </w:rPr>
      </w:pPr>
      <w:r>
        <w:rPr>
          <w:lang w:val="en-US"/>
        </w:rPr>
        <w:t>Email</w:t>
      </w:r>
      <w:r>
        <w:rPr>
          <w:lang w:val="en-US"/>
        </w:rPr>
        <w:tab/>
      </w:r>
      <w:r>
        <w:rPr>
          <w:lang w:val="en-US"/>
        </w:rPr>
        <w:t xml:space="preserve">: </w:t>
      </w:r>
      <w:r>
        <w:fldChar w:fldCharType="begin"/>
      </w:r>
      <w:r>
        <w:instrText xml:space="preserve"> HYPERLINK "mailto:tonny.wahyuaji@gmail.com" </w:instrText>
      </w:r>
      <w:r>
        <w:fldChar w:fldCharType="separate"/>
      </w:r>
      <w:r>
        <w:rPr>
          <w:rStyle w:val="22"/>
          <w:color w:val="auto"/>
          <w:lang w:val="en-US"/>
        </w:rPr>
        <w:t>tonny.wahyuaji@gmail.com</w:t>
      </w:r>
      <w:r>
        <w:rPr>
          <w:rStyle w:val="22"/>
          <w:color w:val="auto"/>
          <w:lang w:val="en-US"/>
        </w:rPr>
        <w:fldChar w:fldCharType="end"/>
      </w:r>
      <w:r>
        <w:rPr>
          <w:lang w:val="en-US"/>
        </w:rPr>
        <w:t xml:space="preserve"> </w:t>
      </w:r>
    </w:p>
    <w:p w14:paraId="55997583">
      <w:pPr>
        <w:tabs>
          <w:tab w:val="left" w:pos="2694"/>
        </w:tabs>
        <w:spacing w:line="240" w:lineRule="auto"/>
        <w:rPr>
          <w:lang w:val="en-US"/>
        </w:rPr>
      </w:pPr>
      <w:r>
        <w:rPr>
          <w:lang w:val="en-US"/>
        </w:rPr>
        <w:t>Situs Web</w:t>
      </w:r>
      <w:r>
        <w:rPr>
          <w:lang w:val="en-US"/>
        </w:rPr>
        <w:tab/>
      </w:r>
      <w:r>
        <w:rPr>
          <w:lang w:val="en-US"/>
        </w:rPr>
        <w:t xml:space="preserve">: </w:t>
      </w:r>
      <w:r>
        <w:fldChar w:fldCharType="begin"/>
      </w:r>
      <w:r>
        <w:instrText xml:space="preserve"> HYPERLINK "https://tonnyx.vercel.app/" </w:instrText>
      </w:r>
      <w:r>
        <w:fldChar w:fldCharType="separate"/>
      </w:r>
      <w:r>
        <w:rPr>
          <w:rStyle w:val="22"/>
          <w:color w:val="auto"/>
          <w:lang w:val="en-US"/>
        </w:rPr>
        <w:t>https://tonnyx.vercel.app/</w:t>
      </w:r>
      <w:r>
        <w:rPr>
          <w:rStyle w:val="22"/>
          <w:color w:val="auto"/>
          <w:lang w:val="en-US"/>
        </w:rPr>
        <w:fldChar w:fldCharType="end"/>
      </w:r>
      <w:r>
        <w:rPr>
          <w:lang w:val="en-US"/>
        </w:rPr>
        <w:t xml:space="preserve"> </w:t>
      </w:r>
    </w:p>
    <w:p w14:paraId="7B3E1873">
      <w:pPr>
        <w:tabs>
          <w:tab w:val="left" w:pos="2694"/>
        </w:tabs>
        <w:spacing w:line="240" w:lineRule="auto"/>
        <w:rPr>
          <w:lang w:val="en-US"/>
        </w:rPr>
      </w:pPr>
      <w:r>
        <w:rPr>
          <w:lang w:val="en-US"/>
        </w:rPr>
        <w:t>Orcid</w:t>
      </w:r>
      <w:r>
        <w:rPr>
          <w:lang w:val="en-US"/>
        </w:rPr>
        <w:tab/>
      </w:r>
      <w:r>
        <w:rPr>
          <w:lang w:val="en-US"/>
        </w:rPr>
        <w:t xml:space="preserve">: </w:t>
      </w:r>
      <w:r>
        <w:fldChar w:fldCharType="begin"/>
      </w:r>
      <w:r>
        <w:instrText xml:space="preserve"> HYPERLINK "https://orcid.org/0009-0008-0202-8580" </w:instrText>
      </w:r>
      <w:r>
        <w:fldChar w:fldCharType="separate"/>
      </w:r>
      <w:r>
        <w:rPr>
          <w:rStyle w:val="22"/>
          <w:color w:val="auto"/>
          <w:lang w:val="en-US"/>
        </w:rPr>
        <w:t>https://orcid.org/0009-0008-0202-8580</w:t>
      </w:r>
      <w:r>
        <w:rPr>
          <w:rStyle w:val="22"/>
          <w:color w:val="auto"/>
          <w:lang w:val="en-US"/>
        </w:rPr>
        <w:fldChar w:fldCharType="end"/>
      </w:r>
    </w:p>
    <w:p w14:paraId="183CE945">
      <w:pPr>
        <w:rPr>
          <w:b/>
          <w:u w:val="single"/>
          <w:lang w:val="en-US"/>
        </w:rPr>
      </w:pPr>
      <w:r>
        <w:rPr>
          <w:b/>
          <w:u w:val="single"/>
          <w:lang w:val="en-US"/>
        </w:rPr>
        <w:t>Publikasi</w:t>
      </w:r>
    </w:p>
    <w:p w14:paraId="73CDA859">
      <w:pPr>
        <w:rPr>
          <w:lang w:val="en-US"/>
        </w:rPr>
      </w:pPr>
      <w:r>
        <w:fldChar w:fldCharType="begin"/>
      </w:r>
      <w:r>
        <w:instrText xml:space="preserve"> HYPERLINK "https://scholar.google.com/citations?user=MC43nlYAAAAJ&amp;hl=id" </w:instrText>
      </w:r>
      <w:r>
        <w:fldChar w:fldCharType="separate"/>
      </w:r>
      <w:r>
        <w:rPr>
          <w:rStyle w:val="22"/>
          <w:color w:val="auto"/>
          <w:lang w:val="en-US"/>
        </w:rPr>
        <w:t>https://scholar.google.com/citations?user=MC43nlYAAAAJ&amp;hl=id</w:t>
      </w:r>
      <w:r>
        <w:rPr>
          <w:rStyle w:val="22"/>
          <w:color w:val="auto"/>
          <w:lang w:val="en-US"/>
        </w:rPr>
        <w:fldChar w:fldCharType="end"/>
      </w:r>
    </w:p>
    <w:p w14:paraId="33C04596">
      <w:pPr>
        <w:tabs>
          <w:tab w:val="left" w:pos="2268"/>
        </w:tabs>
        <w:rPr>
          <w:b/>
          <w:u w:val="single"/>
          <w:lang w:val="en-US"/>
        </w:rPr>
      </w:pPr>
      <w:r>
        <w:rPr>
          <w:b/>
          <w:u w:val="single"/>
          <w:lang w:val="en-US"/>
        </w:rPr>
        <w:t>Pendidikan Formal</w:t>
      </w:r>
    </w:p>
    <w:tbl>
      <w:tblPr>
        <w:tblStyle w:val="25"/>
        <w:tblW w:w="8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0"/>
        <w:gridCol w:w="6237"/>
      </w:tblGrid>
      <w:tr w14:paraId="0BFD9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723A4AA7">
            <w:pPr>
              <w:tabs>
                <w:tab w:val="left" w:pos="2268"/>
              </w:tabs>
              <w:spacing w:line="240" w:lineRule="auto"/>
              <w:jc w:val="left"/>
              <w:rPr>
                <w:b/>
                <w:lang w:val="en-US"/>
              </w:rPr>
            </w:pPr>
            <w:r>
              <w:rPr>
                <w:b/>
                <w:lang w:val="en-US"/>
              </w:rPr>
              <w:t>Tahun</w:t>
            </w:r>
          </w:p>
        </w:tc>
        <w:tc>
          <w:tcPr>
            <w:tcW w:w="6237" w:type="dxa"/>
          </w:tcPr>
          <w:p w14:paraId="414EED97">
            <w:pPr>
              <w:tabs>
                <w:tab w:val="left" w:pos="2268"/>
              </w:tabs>
              <w:spacing w:line="240" w:lineRule="auto"/>
              <w:jc w:val="left"/>
              <w:rPr>
                <w:b/>
                <w:lang w:val="en-US"/>
              </w:rPr>
            </w:pPr>
            <w:r>
              <w:rPr>
                <w:b/>
                <w:lang w:val="en-US"/>
              </w:rPr>
              <w:t>Deskripsi</w:t>
            </w:r>
          </w:p>
        </w:tc>
      </w:tr>
      <w:tr w14:paraId="4CFF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1B70D5D2">
            <w:pPr>
              <w:tabs>
                <w:tab w:val="left" w:pos="2268"/>
              </w:tabs>
              <w:spacing w:line="240" w:lineRule="auto"/>
              <w:jc w:val="left"/>
              <w:rPr>
                <w:lang w:val="en-US"/>
              </w:rPr>
            </w:pPr>
            <w:r>
              <w:rPr>
                <w:lang w:val="en-US"/>
              </w:rPr>
              <w:t>2006-2009</w:t>
            </w:r>
          </w:p>
        </w:tc>
        <w:tc>
          <w:tcPr>
            <w:tcW w:w="6237" w:type="dxa"/>
          </w:tcPr>
          <w:p w14:paraId="52C79083">
            <w:pPr>
              <w:tabs>
                <w:tab w:val="left" w:pos="2268"/>
              </w:tabs>
              <w:spacing w:line="240" w:lineRule="auto"/>
              <w:jc w:val="left"/>
              <w:rPr>
                <w:lang w:val="en-US"/>
              </w:rPr>
            </w:pPr>
            <w:r>
              <w:rPr>
                <w:lang w:val="en-US"/>
              </w:rPr>
              <w:t>SDN Sudimara 05, Tangerang, Jawa Barat</w:t>
            </w:r>
          </w:p>
        </w:tc>
      </w:tr>
      <w:tr w14:paraId="24CB2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0B6B754D">
            <w:pPr>
              <w:tabs>
                <w:tab w:val="left" w:pos="2268"/>
              </w:tabs>
              <w:spacing w:line="240" w:lineRule="auto"/>
              <w:jc w:val="left"/>
              <w:rPr>
                <w:lang w:val="en-US"/>
              </w:rPr>
            </w:pPr>
            <w:r>
              <w:rPr>
                <w:lang w:val="en-US"/>
              </w:rPr>
              <w:t>2009-2012</w:t>
            </w:r>
          </w:p>
        </w:tc>
        <w:tc>
          <w:tcPr>
            <w:tcW w:w="6237" w:type="dxa"/>
          </w:tcPr>
          <w:p w14:paraId="347FC591">
            <w:pPr>
              <w:tabs>
                <w:tab w:val="left" w:pos="2268"/>
              </w:tabs>
              <w:spacing w:line="240" w:lineRule="auto"/>
              <w:jc w:val="left"/>
              <w:rPr>
                <w:lang w:val="en-US"/>
              </w:rPr>
            </w:pPr>
            <w:r>
              <w:rPr>
                <w:lang w:val="en-US"/>
              </w:rPr>
              <w:t>SDN Kedung Jaya 02, Bekasi, Jawa Barat</w:t>
            </w:r>
          </w:p>
        </w:tc>
      </w:tr>
      <w:tr w14:paraId="27CE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20AA47C8">
            <w:pPr>
              <w:tabs>
                <w:tab w:val="left" w:pos="2268"/>
              </w:tabs>
              <w:spacing w:line="240" w:lineRule="auto"/>
              <w:jc w:val="left"/>
              <w:rPr>
                <w:lang w:val="en-US"/>
              </w:rPr>
            </w:pPr>
            <w:r>
              <w:rPr>
                <w:lang w:val="en-US"/>
              </w:rPr>
              <w:t>2012-2015</w:t>
            </w:r>
          </w:p>
        </w:tc>
        <w:tc>
          <w:tcPr>
            <w:tcW w:w="6237" w:type="dxa"/>
          </w:tcPr>
          <w:p w14:paraId="3F908F1C">
            <w:pPr>
              <w:tabs>
                <w:tab w:val="left" w:pos="2268"/>
              </w:tabs>
              <w:spacing w:line="240" w:lineRule="auto"/>
              <w:jc w:val="left"/>
              <w:rPr>
                <w:lang w:val="en-US"/>
              </w:rPr>
            </w:pPr>
            <w:r>
              <w:rPr>
                <w:lang w:val="en-US"/>
              </w:rPr>
              <w:t>SMPN 1 Babelan, Bekasi, Jawa Barat</w:t>
            </w:r>
          </w:p>
        </w:tc>
      </w:tr>
      <w:tr w14:paraId="13817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4A988D95">
            <w:pPr>
              <w:tabs>
                <w:tab w:val="left" w:pos="2268"/>
              </w:tabs>
              <w:spacing w:line="240" w:lineRule="auto"/>
              <w:jc w:val="left"/>
              <w:rPr>
                <w:lang w:val="en-US"/>
              </w:rPr>
            </w:pPr>
            <w:r>
              <w:rPr>
                <w:lang w:val="en-US"/>
              </w:rPr>
              <w:t>2015-2018</w:t>
            </w:r>
          </w:p>
        </w:tc>
        <w:tc>
          <w:tcPr>
            <w:tcW w:w="6237" w:type="dxa"/>
          </w:tcPr>
          <w:p w14:paraId="597C6026">
            <w:pPr>
              <w:tabs>
                <w:tab w:val="left" w:pos="2268"/>
              </w:tabs>
              <w:spacing w:line="240" w:lineRule="auto"/>
              <w:jc w:val="left"/>
              <w:rPr>
                <w:lang w:val="en-US"/>
              </w:rPr>
            </w:pPr>
            <w:r>
              <w:rPr>
                <w:lang w:val="en-US"/>
              </w:rPr>
              <w:t>SMKN 1 Babelan, Bekasi, Jawa Barat</w:t>
            </w:r>
          </w:p>
        </w:tc>
      </w:tr>
      <w:tr w14:paraId="7C25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6886D98A">
            <w:pPr>
              <w:tabs>
                <w:tab w:val="left" w:pos="2268"/>
              </w:tabs>
              <w:spacing w:line="240" w:lineRule="auto"/>
              <w:jc w:val="left"/>
              <w:rPr>
                <w:lang w:val="en-US"/>
              </w:rPr>
            </w:pPr>
            <w:r>
              <w:rPr>
                <w:lang w:val="en-US"/>
              </w:rPr>
              <w:t>2020-2022</w:t>
            </w:r>
          </w:p>
        </w:tc>
        <w:tc>
          <w:tcPr>
            <w:tcW w:w="6237" w:type="dxa"/>
          </w:tcPr>
          <w:p w14:paraId="18547BFF">
            <w:pPr>
              <w:tabs>
                <w:tab w:val="left" w:pos="2268"/>
              </w:tabs>
              <w:spacing w:line="240" w:lineRule="auto"/>
              <w:jc w:val="left"/>
              <w:rPr>
                <w:lang w:val="en-US"/>
              </w:rPr>
            </w:pPr>
            <w:r>
              <w:rPr>
                <w:lang w:val="en-US"/>
              </w:rPr>
              <w:t>Universitas Bhayangkara, Bekasi, Jawa Barat</w:t>
            </w:r>
          </w:p>
        </w:tc>
      </w:tr>
      <w:tr w14:paraId="1A5B8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80" w:type="dxa"/>
          </w:tcPr>
          <w:p w14:paraId="495BA01D">
            <w:pPr>
              <w:tabs>
                <w:tab w:val="left" w:pos="2268"/>
              </w:tabs>
              <w:spacing w:line="240" w:lineRule="auto"/>
              <w:jc w:val="left"/>
              <w:rPr>
                <w:lang w:val="en-US"/>
              </w:rPr>
            </w:pPr>
            <w:r>
              <w:rPr>
                <w:lang w:val="en-US"/>
              </w:rPr>
              <w:t>2022-2026</w:t>
            </w:r>
          </w:p>
        </w:tc>
        <w:tc>
          <w:tcPr>
            <w:tcW w:w="6237" w:type="dxa"/>
          </w:tcPr>
          <w:p w14:paraId="5B1A487B">
            <w:pPr>
              <w:tabs>
                <w:tab w:val="left" w:pos="2268"/>
              </w:tabs>
              <w:jc w:val="left"/>
              <w:rPr>
                <w:lang w:val="en-US"/>
              </w:rPr>
            </w:pPr>
            <w:r>
              <w:rPr>
                <w:lang w:val="en-US"/>
              </w:rPr>
              <w:t>Diploma IV Instrumentasi-MKG, Sekolah Tinggi Meteorologi Klimatologi dan Geofisika, Tangerang, Banten</w:t>
            </w:r>
          </w:p>
        </w:tc>
      </w:tr>
    </w:tbl>
    <w:p w14:paraId="45A180AE">
      <w:pPr>
        <w:rPr>
          <w:b/>
          <w:u w:val="single"/>
          <w:lang w:val="en-US"/>
        </w:rPr>
      </w:pPr>
      <w:r>
        <w:rPr>
          <w:b/>
          <w:u w:val="single"/>
          <w:lang w:val="en-US"/>
        </w:rPr>
        <w:t>Pengalaman Kerja</w:t>
      </w:r>
    </w:p>
    <w:tbl>
      <w:tblPr>
        <w:tblStyle w:val="25"/>
        <w:tblW w:w="79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701"/>
        <w:gridCol w:w="6237"/>
      </w:tblGrid>
      <w:tr w14:paraId="11BE3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5FD27CB5">
            <w:pPr>
              <w:tabs>
                <w:tab w:val="left" w:pos="2268"/>
              </w:tabs>
              <w:spacing w:line="240" w:lineRule="auto"/>
              <w:jc w:val="left"/>
              <w:rPr>
                <w:b/>
                <w:lang w:val="en-US"/>
              </w:rPr>
            </w:pPr>
            <w:r>
              <w:rPr>
                <w:b/>
                <w:lang w:val="en-US"/>
              </w:rPr>
              <w:t>Tahun</w:t>
            </w:r>
          </w:p>
        </w:tc>
        <w:tc>
          <w:tcPr>
            <w:tcW w:w="6237" w:type="dxa"/>
          </w:tcPr>
          <w:p w14:paraId="2907225E">
            <w:pPr>
              <w:tabs>
                <w:tab w:val="left" w:pos="2268"/>
              </w:tabs>
              <w:spacing w:line="240" w:lineRule="auto"/>
              <w:jc w:val="left"/>
              <w:rPr>
                <w:b/>
                <w:lang w:val="en-US"/>
              </w:rPr>
            </w:pPr>
            <w:r>
              <w:rPr>
                <w:b/>
                <w:lang w:val="en-US"/>
              </w:rPr>
              <w:t>Deskripsi</w:t>
            </w:r>
          </w:p>
        </w:tc>
      </w:tr>
      <w:tr w14:paraId="2293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497FFF3B">
            <w:pPr>
              <w:tabs>
                <w:tab w:val="left" w:pos="2268"/>
              </w:tabs>
              <w:spacing w:line="240" w:lineRule="auto"/>
              <w:jc w:val="left"/>
              <w:rPr>
                <w:lang w:val="en-US"/>
              </w:rPr>
            </w:pPr>
            <w:r>
              <w:rPr>
                <w:lang w:val="en-US"/>
              </w:rPr>
              <w:t>2016</w:t>
            </w:r>
          </w:p>
        </w:tc>
        <w:tc>
          <w:tcPr>
            <w:tcW w:w="6237" w:type="dxa"/>
          </w:tcPr>
          <w:p w14:paraId="4E6F656E">
            <w:pPr>
              <w:tabs>
                <w:tab w:val="left" w:pos="2268"/>
              </w:tabs>
              <w:spacing w:line="240" w:lineRule="auto"/>
              <w:jc w:val="left"/>
              <w:rPr>
                <w:lang w:val="en-US"/>
              </w:rPr>
            </w:pPr>
            <w:r>
              <w:rPr>
                <w:lang w:val="en-US"/>
              </w:rPr>
              <w:t>Magang, Departemen IT, PT Vision Ease Asia</w:t>
            </w:r>
          </w:p>
        </w:tc>
      </w:tr>
      <w:tr w14:paraId="1DC0E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7FAC1ECB">
            <w:pPr>
              <w:tabs>
                <w:tab w:val="left" w:pos="2268"/>
              </w:tabs>
              <w:spacing w:line="240" w:lineRule="auto"/>
              <w:jc w:val="left"/>
              <w:rPr>
                <w:lang w:val="en-US"/>
              </w:rPr>
            </w:pPr>
            <w:r>
              <w:rPr>
                <w:lang w:val="en-US"/>
              </w:rPr>
              <w:t>2018</w:t>
            </w:r>
          </w:p>
        </w:tc>
        <w:tc>
          <w:tcPr>
            <w:tcW w:w="6237" w:type="dxa"/>
          </w:tcPr>
          <w:p w14:paraId="09264F68">
            <w:pPr>
              <w:tabs>
                <w:tab w:val="left" w:pos="2268"/>
              </w:tabs>
              <w:spacing w:line="240" w:lineRule="auto"/>
              <w:jc w:val="left"/>
              <w:rPr>
                <w:lang w:val="en-US"/>
              </w:rPr>
            </w:pPr>
            <w:r>
              <w:rPr>
                <w:lang w:val="en-US"/>
              </w:rPr>
              <w:t>Pramuniaga, Rajawali Parfum, Madiun</w:t>
            </w:r>
          </w:p>
        </w:tc>
      </w:tr>
      <w:tr w14:paraId="2565B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0D611B42">
            <w:pPr>
              <w:tabs>
                <w:tab w:val="left" w:pos="2268"/>
              </w:tabs>
              <w:spacing w:line="240" w:lineRule="auto"/>
              <w:jc w:val="left"/>
              <w:rPr>
                <w:lang w:val="en-US"/>
              </w:rPr>
            </w:pPr>
            <w:r>
              <w:rPr>
                <w:lang w:val="en-US"/>
              </w:rPr>
              <w:t>2018-2019</w:t>
            </w:r>
          </w:p>
        </w:tc>
        <w:tc>
          <w:tcPr>
            <w:tcW w:w="6237" w:type="dxa"/>
          </w:tcPr>
          <w:p w14:paraId="615F7057">
            <w:pPr>
              <w:tabs>
                <w:tab w:val="left" w:pos="2268"/>
              </w:tabs>
              <w:spacing w:line="240" w:lineRule="auto"/>
              <w:jc w:val="left"/>
              <w:rPr>
                <w:lang w:val="en-US"/>
              </w:rPr>
            </w:pPr>
            <w:r>
              <w:rPr>
                <w:lang w:val="en-US"/>
              </w:rPr>
              <w:t>Admin Warehouse, PT Vision Ease Asia, Cikarang</w:t>
            </w:r>
          </w:p>
        </w:tc>
      </w:tr>
      <w:tr w14:paraId="54DEA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493A3B85">
            <w:pPr>
              <w:tabs>
                <w:tab w:val="left" w:pos="2268"/>
              </w:tabs>
              <w:spacing w:line="240" w:lineRule="auto"/>
              <w:jc w:val="left"/>
              <w:rPr>
                <w:lang w:val="en-US"/>
              </w:rPr>
            </w:pPr>
            <w:r>
              <w:rPr>
                <w:lang w:val="en-US"/>
              </w:rPr>
              <w:t>2019-2021</w:t>
            </w:r>
          </w:p>
        </w:tc>
        <w:tc>
          <w:tcPr>
            <w:tcW w:w="6237" w:type="dxa"/>
          </w:tcPr>
          <w:p w14:paraId="5A0A36A1">
            <w:pPr>
              <w:tabs>
                <w:tab w:val="left" w:pos="2268"/>
              </w:tabs>
              <w:spacing w:after="0"/>
              <w:jc w:val="left"/>
              <w:rPr>
                <w:lang w:val="en-US"/>
              </w:rPr>
            </w:pPr>
            <w:r>
              <w:rPr>
                <w:lang w:val="en-US"/>
              </w:rPr>
              <w:t>Operator &amp; Quality Control, Painting Plastic Section,</w:t>
            </w:r>
            <w:r>
              <w:rPr>
                <w:lang w:val="en-US"/>
              </w:rPr>
              <w:br w:type="textWrapping"/>
            </w:r>
            <w:r>
              <w:rPr>
                <w:lang w:val="en-US"/>
              </w:rPr>
              <w:t>PT Astra Honda Motor, Sunter</w:t>
            </w:r>
          </w:p>
        </w:tc>
      </w:tr>
      <w:tr w14:paraId="49768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7D7D7E0B">
            <w:pPr>
              <w:tabs>
                <w:tab w:val="left" w:pos="2268"/>
              </w:tabs>
              <w:spacing w:line="240" w:lineRule="auto"/>
              <w:jc w:val="left"/>
              <w:rPr>
                <w:lang w:val="en-US"/>
              </w:rPr>
            </w:pPr>
            <w:r>
              <w:rPr>
                <w:lang w:val="en-US"/>
              </w:rPr>
              <w:t>2021-2022</w:t>
            </w:r>
          </w:p>
        </w:tc>
        <w:tc>
          <w:tcPr>
            <w:tcW w:w="6237" w:type="dxa"/>
          </w:tcPr>
          <w:p w14:paraId="52595DF6">
            <w:pPr>
              <w:tabs>
                <w:tab w:val="left" w:pos="2268"/>
              </w:tabs>
              <w:spacing w:line="240" w:lineRule="auto"/>
              <w:jc w:val="left"/>
              <w:rPr>
                <w:lang w:val="en-US"/>
              </w:rPr>
            </w:pPr>
            <w:r>
              <w:rPr>
                <w:lang w:val="en-US"/>
              </w:rPr>
              <w:t>Admin Warehouse, PT Swift (GOTO Logistic), Bekasi</w:t>
            </w:r>
          </w:p>
        </w:tc>
      </w:tr>
      <w:tr w14:paraId="55AAA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63B9708F">
            <w:pPr>
              <w:tabs>
                <w:tab w:val="left" w:pos="2268"/>
              </w:tabs>
              <w:spacing w:line="240" w:lineRule="auto"/>
              <w:jc w:val="left"/>
              <w:rPr>
                <w:lang w:val="en-US"/>
              </w:rPr>
            </w:pPr>
            <w:r>
              <w:rPr>
                <w:lang w:val="en-US"/>
              </w:rPr>
              <w:t>2024-2026</w:t>
            </w:r>
          </w:p>
        </w:tc>
        <w:tc>
          <w:tcPr>
            <w:tcW w:w="6237" w:type="dxa"/>
          </w:tcPr>
          <w:p w14:paraId="5C2013F6">
            <w:pPr>
              <w:tabs>
                <w:tab w:val="left" w:pos="2268"/>
              </w:tabs>
              <w:spacing w:line="240" w:lineRule="auto"/>
              <w:jc w:val="left"/>
              <w:rPr>
                <w:lang w:val="en-US"/>
              </w:rPr>
            </w:pPr>
            <w:r>
              <w:rPr>
                <w:lang w:val="en-US"/>
              </w:rPr>
              <w:t>CEO, Kabagas Keren</w:t>
            </w:r>
          </w:p>
        </w:tc>
      </w:tr>
      <w:tr w14:paraId="3D9C3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0DFFC35E">
            <w:pPr>
              <w:tabs>
                <w:tab w:val="left" w:pos="2268"/>
              </w:tabs>
              <w:spacing w:line="240" w:lineRule="auto"/>
              <w:jc w:val="left"/>
              <w:rPr>
                <w:lang w:val="en-US"/>
              </w:rPr>
            </w:pPr>
            <w:r>
              <w:rPr>
                <w:lang w:val="en-US"/>
              </w:rPr>
              <w:t>2025</w:t>
            </w:r>
          </w:p>
        </w:tc>
        <w:tc>
          <w:tcPr>
            <w:tcW w:w="6237" w:type="dxa"/>
          </w:tcPr>
          <w:p w14:paraId="27F6AECA">
            <w:pPr>
              <w:tabs>
                <w:tab w:val="left" w:pos="2268"/>
              </w:tabs>
              <w:spacing w:line="240" w:lineRule="auto"/>
              <w:jc w:val="left"/>
              <w:rPr>
                <w:lang w:val="en-US"/>
              </w:rPr>
            </w:pPr>
            <w:r>
              <w:rPr>
                <w:lang w:val="en-US"/>
              </w:rPr>
              <w:t>Magang, Direktorat Data dan Komputasi, BMKG Pusat</w:t>
            </w:r>
          </w:p>
        </w:tc>
      </w:tr>
    </w:tbl>
    <w:p w14:paraId="2C6AF7D6">
      <w:pPr>
        <w:tabs>
          <w:tab w:val="left" w:pos="2268"/>
        </w:tabs>
        <w:rPr>
          <w:b/>
          <w:u w:val="single"/>
          <w:lang w:val="en-US"/>
        </w:rPr>
      </w:pPr>
      <w:r>
        <w:rPr>
          <w:b/>
          <w:u w:val="single"/>
          <w:lang w:val="en-US"/>
        </w:rPr>
        <w:t>Pengalaman Organisasi</w:t>
      </w:r>
    </w:p>
    <w:tbl>
      <w:tblPr>
        <w:tblStyle w:val="25"/>
        <w:tblW w:w="8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701"/>
        <w:gridCol w:w="6379"/>
      </w:tblGrid>
      <w:tr w14:paraId="3AE3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blHeader/>
        </w:trPr>
        <w:tc>
          <w:tcPr>
            <w:tcW w:w="1701" w:type="dxa"/>
          </w:tcPr>
          <w:p w14:paraId="1EB2950D">
            <w:pPr>
              <w:tabs>
                <w:tab w:val="left" w:pos="2268"/>
              </w:tabs>
              <w:spacing w:line="240" w:lineRule="auto"/>
              <w:jc w:val="left"/>
              <w:rPr>
                <w:b/>
                <w:lang w:val="en-US"/>
              </w:rPr>
            </w:pPr>
            <w:r>
              <w:rPr>
                <w:b/>
                <w:lang w:val="en-US"/>
              </w:rPr>
              <w:t>Tahun</w:t>
            </w:r>
          </w:p>
        </w:tc>
        <w:tc>
          <w:tcPr>
            <w:tcW w:w="6379" w:type="dxa"/>
          </w:tcPr>
          <w:p w14:paraId="440CD210">
            <w:pPr>
              <w:tabs>
                <w:tab w:val="left" w:pos="2268"/>
              </w:tabs>
              <w:spacing w:line="240" w:lineRule="auto"/>
              <w:jc w:val="left"/>
              <w:rPr>
                <w:b/>
                <w:lang w:val="en-US"/>
              </w:rPr>
            </w:pPr>
            <w:r>
              <w:rPr>
                <w:b/>
                <w:lang w:val="en-US"/>
              </w:rPr>
              <w:t>Deskripsi</w:t>
            </w:r>
          </w:p>
        </w:tc>
      </w:tr>
      <w:tr w14:paraId="5BE27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46DC9510">
            <w:pPr>
              <w:tabs>
                <w:tab w:val="left" w:pos="2268"/>
              </w:tabs>
              <w:spacing w:line="240" w:lineRule="auto"/>
              <w:jc w:val="left"/>
              <w:rPr>
                <w:lang w:val="en-US"/>
              </w:rPr>
            </w:pPr>
            <w:r>
              <w:rPr>
                <w:lang w:val="en-US"/>
              </w:rPr>
              <w:t>2015-2018</w:t>
            </w:r>
          </w:p>
        </w:tc>
        <w:tc>
          <w:tcPr>
            <w:tcW w:w="6379" w:type="dxa"/>
          </w:tcPr>
          <w:p w14:paraId="174F6500">
            <w:pPr>
              <w:tabs>
                <w:tab w:val="left" w:pos="2268"/>
              </w:tabs>
              <w:spacing w:line="240" w:lineRule="auto"/>
              <w:rPr>
                <w:lang w:val="en-US"/>
              </w:rPr>
            </w:pPr>
            <w:r>
              <w:rPr>
                <w:lang w:val="en-US"/>
              </w:rPr>
              <w:t>Wakil Komandan Satuan Paskibra Khas Teknik SMKN 1 Babelan</w:t>
            </w:r>
          </w:p>
        </w:tc>
      </w:tr>
      <w:tr w14:paraId="28D6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190FB8A8">
            <w:pPr>
              <w:tabs>
                <w:tab w:val="left" w:pos="2268"/>
              </w:tabs>
              <w:spacing w:line="240" w:lineRule="auto"/>
              <w:jc w:val="left"/>
              <w:rPr>
                <w:lang w:val="en-US"/>
              </w:rPr>
            </w:pPr>
            <w:r>
              <w:rPr>
                <w:lang w:val="en-US"/>
              </w:rPr>
              <w:t>2015-2018</w:t>
            </w:r>
          </w:p>
        </w:tc>
        <w:tc>
          <w:tcPr>
            <w:tcW w:w="6379" w:type="dxa"/>
          </w:tcPr>
          <w:p w14:paraId="0B2BC2A0">
            <w:pPr>
              <w:tabs>
                <w:tab w:val="left" w:pos="2268"/>
              </w:tabs>
              <w:spacing w:line="240" w:lineRule="auto"/>
              <w:jc w:val="left"/>
              <w:rPr>
                <w:lang w:val="en-US"/>
              </w:rPr>
            </w:pPr>
            <w:r>
              <w:rPr>
                <w:lang w:val="en-US"/>
              </w:rPr>
              <w:t>Sekretaris II OSIS SMKN 1 Babelan</w:t>
            </w:r>
          </w:p>
        </w:tc>
      </w:tr>
      <w:tr w14:paraId="5653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3C803C2F">
            <w:pPr>
              <w:tabs>
                <w:tab w:val="left" w:pos="2268"/>
              </w:tabs>
              <w:spacing w:line="240" w:lineRule="auto"/>
              <w:jc w:val="left"/>
              <w:rPr>
                <w:lang w:val="en-US"/>
              </w:rPr>
            </w:pPr>
            <w:r>
              <w:rPr>
                <w:lang w:val="en-US"/>
              </w:rPr>
              <w:t>2022-2026</w:t>
            </w:r>
          </w:p>
        </w:tc>
        <w:tc>
          <w:tcPr>
            <w:tcW w:w="6379" w:type="dxa"/>
          </w:tcPr>
          <w:p w14:paraId="1E91B184">
            <w:pPr>
              <w:tabs>
                <w:tab w:val="left" w:pos="2268"/>
              </w:tabs>
              <w:spacing w:line="240" w:lineRule="auto"/>
              <w:jc w:val="left"/>
              <w:rPr>
                <w:lang w:val="en-US"/>
              </w:rPr>
            </w:pPr>
            <w:r>
              <w:rPr>
                <w:lang w:val="en-US"/>
              </w:rPr>
              <w:t>Anggota Aktif Pasukan Khusus STMKG</w:t>
            </w:r>
          </w:p>
        </w:tc>
      </w:tr>
      <w:tr w14:paraId="6ABA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689E85B9">
            <w:pPr>
              <w:tabs>
                <w:tab w:val="left" w:pos="2268"/>
              </w:tabs>
              <w:spacing w:line="240" w:lineRule="auto"/>
              <w:jc w:val="left"/>
              <w:rPr>
                <w:lang w:val="en-US"/>
              </w:rPr>
            </w:pPr>
            <w:r>
              <w:rPr>
                <w:lang w:val="en-US"/>
              </w:rPr>
              <w:t>2022-2026</w:t>
            </w:r>
          </w:p>
        </w:tc>
        <w:tc>
          <w:tcPr>
            <w:tcW w:w="6379" w:type="dxa"/>
          </w:tcPr>
          <w:p w14:paraId="247D01CB">
            <w:pPr>
              <w:tabs>
                <w:tab w:val="left" w:pos="2268"/>
              </w:tabs>
              <w:spacing w:line="240" w:lineRule="auto"/>
              <w:jc w:val="left"/>
              <w:rPr>
                <w:lang w:val="en-US"/>
              </w:rPr>
            </w:pPr>
            <w:r>
              <w:rPr>
                <w:lang w:val="en-US"/>
              </w:rPr>
              <w:t>Anggota AURORA STMKG</w:t>
            </w:r>
          </w:p>
        </w:tc>
      </w:tr>
      <w:tr w14:paraId="18F94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1466ACE4">
            <w:pPr>
              <w:tabs>
                <w:tab w:val="left" w:pos="2268"/>
              </w:tabs>
              <w:spacing w:line="240" w:lineRule="auto"/>
              <w:jc w:val="left"/>
              <w:rPr>
                <w:lang w:val="en-US"/>
              </w:rPr>
            </w:pPr>
            <w:r>
              <w:rPr>
                <w:lang w:val="en-US"/>
              </w:rPr>
              <w:t>2024-2025</w:t>
            </w:r>
          </w:p>
        </w:tc>
        <w:tc>
          <w:tcPr>
            <w:tcW w:w="6379" w:type="dxa"/>
          </w:tcPr>
          <w:p w14:paraId="42037055">
            <w:pPr>
              <w:tabs>
                <w:tab w:val="left" w:pos="2268"/>
              </w:tabs>
              <w:spacing w:line="240" w:lineRule="auto"/>
              <w:jc w:val="left"/>
              <w:rPr>
                <w:lang w:val="en-US"/>
              </w:rPr>
            </w:pPr>
            <w:r>
              <w:rPr>
                <w:lang w:val="en-US"/>
              </w:rPr>
              <w:t>Multimedia Resimen Bidang Website Resimen Taruna STMKG</w:t>
            </w:r>
          </w:p>
        </w:tc>
      </w:tr>
      <w:tr w14:paraId="3BDDC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2F31A5F9">
            <w:pPr>
              <w:tabs>
                <w:tab w:val="left" w:pos="2268"/>
              </w:tabs>
              <w:spacing w:line="240" w:lineRule="auto"/>
              <w:jc w:val="left"/>
              <w:rPr>
                <w:lang w:val="en-US"/>
              </w:rPr>
            </w:pPr>
            <w:r>
              <w:rPr>
                <w:lang w:val="en-US"/>
              </w:rPr>
              <w:t>2025</w:t>
            </w:r>
          </w:p>
        </w:tc>
        <w:tc>
          <w:tcPr>
            <w:tcW w:w="6379" w:type="dxa"/>
          </w:tcPr>
          <w:p w14:paraId="1EB90ABD">
            <w:pPr>
              <w:tabs>
                <w:tab w:val="left" w:pos="2268"/>
              </w:tabs>
              <w:spacing w:line="240" w:lineRule="auto"/>
              <w:jc w:val="left"/>
              <w:rPr>
                <w:lang w:val="en-US"/>
              </w:rPr>
            </w:pPr>
            <w:r>
              <w:rPr>
                <w:lang w:val="en-US"/>
              </w:rPr>
              <w:t>Komandan Pasukan Khusus STMKG</w:t>
            </w:r>
          </w:p>
        </w:tc>
      </w:tr>
      <w:tr w14:paraId="26153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453CADB6">
            <w:pPr>
              <w:tabs>
                <w:tab w:val="left" w:pos="2268"/>
              </w:tabs>
              <w:spacing w:line="240" w:lineRule="auto"/>
              <w:jc w:val="left"/>
              <w:rPr>
                <w:lang w:val="en-US"/>
              </w:rPr>
            </w:pPr>
            <w:r>
              <w:rPr>
                <w:lang w:val="en-US"/>
              </w:rPr>
              <w:t>2025</w:t>
            </w:r>
          </w:p>
        </w:tc>
        <w:tc>
          <w:tcPr>
            <w:tcW w:w="6379" w:type="dxa"/>
          </w:tcPr>
          <w:p w14:paraId="43E0E746">
            <w:pPr>
              <w:tabs>
                <w:tab w:val="left" w:pos="2268"/>
              </w:tabs>
              <w:spacing w:line="240" w:lineRule="auto"/>
              <w:jc w:val="left"/>
              <w:rPr>
                <w:lang w:val="en-US"/>
              </w:rPr>
            </w:pPr>
            <w:r>
              <w:rPr>
                <w:lang w:val="en-US"/>
              </w:rPr>
              <w:t>Koordinator Acara KKN Unit 4 STMKG</w:t>
            </w:r>
          </w:p>
        </w:tc>
      </w:tr>
    </w:tbl>
    <w:p w14:paraId="1826480B">
      <w:pPr>
        <w:rPr>
          <w:b/>
          <w:u w:val="single"/>
          <w:lang w:val="en-US"/>
        </w:rPr>
      </w:pPr>
      <w:r>
        <w:rPr>
          <w:b/>
          <w:u w:val="single"/>
          <w:lang w:val="en-US"/>
        </w:rPr>
        <w:t>Pengalaman Kepanitiaan</w:t>
      </w:r>
    </w:p>
    <w:tbl>
      <w:tblPr>
        <w:tblStyle w:val="25"/>
        <w:tblW w:w="8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701"/>
        <w:gridCol w:w="6516"/>
      </w:tblGrid>
      <w:tr w14:paraId="18B6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0FA69089">
            <w:pPr>
              <w:tabs>
                <w:tab w:val="left" w:pos="2268"/>
              </w:tabs>
              <w:spacing w:line="240" w:lineRule="auto"/>
              <w:jc w:val="left"/>
              <w:rPr>
                <w:b/>
                <w:lang w:val="en-US"/>
              </w:rPr>
            </w:pPr>
            <w:r>
              <w:rPr>
                <w:b/>
                <w:lang w:val="en-US"/>
              </w:rPr>
              <w:t>Tahun</w:t>
            </w:r>
          </w:p>
        </w:tc>
        <w:tc>
          <w:tcPr>
            <w:tcW w:w="6516" w:type="dxa"/>
          </w:tcPr>
          <w:p w14:paraId="040396A3">
            <w:pPr>
              <w:tabs>
                <w:tab w:val="left" w:pos="2268"/>
              </w:tabs>
              <w:spacing w:line="240" w:lineRule="auto"/>
              <w:jc w:val="left"/>
              <w:rPr>
                <w:b/>
                <w:lang w:val="en-US"/>
              </w:rPr>
            </w:pPr>
            <w:r>
              <w:rPr>
                <w:b/>
                <w:lang w:val="en-US"/>
              </w:rPr>
              <w:t>Deskripsi</w:t>
            </w:r>
          </w:p>
        </w:tc>
      </w:tr>
      <w:tr w14:paraId="331F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333A43B8">
            <w:pPr>
              <w:tabs>
                <w:tab w:val="left" w:pos="2268"/>
              </w:tabs>
              <w:spacing w:line="240" w:lineRule="auto"/>
              <w:jc w:val="left"/>
              <w:rPr>
                <w:lang w:val="en-US"/>
              </w:rPr>
            </w:pPr>
            <w:r>
              <w:rPr>
                <w:lang w:val="en-US"/>
              </w:rPr>
              <w:t>2023</w:t>
            </w:r>
          </w:p>
        </w:tc>
        <w:tc>
          <w:tcPr>
            <w:tcW w:w="6516" w:type="dxa"/>
          </w:tcPr>
          <w:p w14:paraId="5D44CAA6">
            <w:pPr>
              <w:tabs>
                <w:tab w:val="left" w:pos="2268"/>
              </w:tabs>
              <w:spacing w:line="240" w:lineRule="auto"/>
              <w:jc w:val="left"/>
              <w:rPr>
                <w:lang w:val="en-US"/>
              </w:rPr>
            </w:pPr>
            <w:r>
              <w:rPr>
                <w:lang w:val="en-US"/>
              </w:rPr>
              <w:t>Sie Acara MADABINTAL STMKG 2023</w:t>
            </w:r>
          </w:p>
        </w:tc>
      </w:tr>
      <w:tr w14:paraId="0E01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4F6FDC1B">
            <w:pPr>
              <w:tabs>
                <w:tab w:val="left" w:pos="2268"/>
              </w:tabs>
              <w:spacing w:line="240" w:lineRule="auto"/>
              <w:jc w:val="left"/>
              <w:rPr>
                <w:lang w:val="en-US"/>
              </w:rPr>
            </w:pPr>
            <w:r>
              <w:rPr>
                <w:lang w:val="en-US"/>
              </w:rPr>
              <w:t>2023</w:t>
            </w:r>
          </w:p>
        </w:tc>
        <w:tc>
          <w:tcPr>
            <w:tcW w:w="6516" w:type="dxa"/>
          </w:tcPr>
          <w:p w14:paraId="115BE8E1">
            <w:pPr>
              <w:tabs>
                <w:tab w:val="left" w:pos="2268"/>
              </w:tabs>
              <w:spacing w:line="240" w:lineRule="auto"/>
              <w:jc w:val="left"/>
              <w:rPr>
                <w:lang w:val="en-US"/>
              </w:rPr>
            </w:pPr>
            <w:r>
              <w:rPr>
                <w:lang w:val="en-US"/>
              </w:rPr>
              <w:t>Sie Acara Yudisium &amp; Wisuda Sarjana Terapan STMKG 2023</w:t>
            </w:r>
          </w:p>
        </w:tc>
      </w:tr>
      <w:tr w14:paraId="5C29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72D1F050">
            <w:pPr>
              <w:tabs>
                <w:tab w:val="left" w:pos="2268"/>
              </w:tabs>
              <w:spacing w:line="240" w:lineRule="auto"/>
              <w:jc w:val="left"/>
              <w:rPr>
                <w:lang w:val="en-US"/>
              </w:rPr>
            </w:pPr>
            <w:r>
              <w:rPr>
                <w:lang w:val="en-US"/>
              </w:rPr>
              <w:t>2024</w:t>
            </w:r>
          </w:p>
        </w:tc>
        <w:tc>
          <w:tcPr>
            <w:tcW w:w="6516" w:type="dxa"/>
          </w:tcPr>
          <w:p w14:paraId="7AFD22B2">
            <w:pPr>
              <w:tabs>
                <w:tab w:val="left" w:pos="2268"/>
              </w:tabs>
              <w:spacing w:line="240" w:lineRule="auto"/>
              <w:jc w:val="left"/>
              <w:rPr>
                <w:lang w:val="en-US"/>
              </w:rPr>
            </w:pPr>
            <w:r>
              <w:rPr>
                <w:lang w:val="en-US"/>
              </w:rPr>
              <w:t>Anggota Tim Pembangunan WBK/WBBM STMKG 2024</w:t>
            </w:r>
          </w:p>
        </w:tc>
      </w:tr>
      <w:tr w14:paraId="5F05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2E01B880">
            <w:pPr>
              <w:tabs>
                <w:tab w:val="left" w:pos="2268"/>
              </w:tabs>
              <w:spacing w:line="240" w:lineRule="auto"/>
              <w:jc w:val="left"/>
              <w:rPr>
                <w:lang w:val="en-US"/>
              </w:rPr>
            </w:pPr>
            <w:r>
              <w:rPr>
                <w:lang w:val="en-US"/>
              </w:rPr>
              <w:t>2025</w:t>
            </w:r>
          </w:p>
        </w:tc>
        <w:tc>
          <w:tcPr>
            <w:tcW w:w="6516" w:type="dxa"/>
          </w:tcPr>
          <w:p w14:paraId="130FC4FE">
            <w:pPr>
              <w:tabs>
                <w:tab w:val="left" w:pos="2268"/>
              </w:tabs>
              <w:spacing w:line="240" w:lineRule="auto"/>
              <w:jc w:val="left"/>
              <w:rPr>
                <w:lang w:val="en-US"/>
              </w:rPr>
            </w:pPr>
            <w:r>
              <w:rPr>
                <w:lang w:val="en-US"/>
              </w:rPr>
              <w:t>Koor. Acara Yudisium &amp; Wisuda Sarjana Terapan STMKG 2025</w:t>
            </w:r>
          </w:p>
        </w:tc>
      </w:tr>
      <w:tr w14:paraId="7E9A6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trPr>
        <w:tc>
          <w:tcPr>
            <w:tcW w:w="1701" w:type="dxa"/>
          </w:tcPr>
          <w:p w14:paraId="5F6FF217">
            <w:pPr>
              <w:tabs>
                <w:tab w:val="left" w:pos="2268"/>
              </w:tabs>
              <w:spacing w:line="240" w:lineRule="auto"/>
              <w:jc w:val="left"/>
              <w:rPr>
                <w:lang w:val="en-US"/>
              </w:rPr>
            </w:pPr>
            <w:r>
              <w:rPr>
                <w:lang w:val="en-US"/>
              </w:rPr>
              <w:t>2025</w:t>
            </w:r>
          </w:p>
        </w:tc>
        <w:tc>
          <w:tcPr>
            <w:tcW w:w="6516" w:type="dxa"/>
          </w:tcPr>
          <w:p w14:paraId="64A73B4A">
            <w:pPr>
              <w:tabs>
                <w:tab w:val="left" w:pos="2268"/>
              </w:tabs>
              <w:spacing w:line="240" w:lineRule="auto"/>
              <w:jc w:val="left"/>
              <w:rPr>
                <w:lang w:val="en-US"/>
              </w:rPr>
            </w:pPr>
            <w:r>
              <w:rPr>
                <w:lang w:val="en-US"/>
              </w:rPr>
              <w:t>Ketua Pelaksana Profesional Protocol Camp STMKG</w:t>
            </w:r>
          </w:p>
        </w:tc>
      </w:tr>
    </w:tbl>
    <w:p w14:paraId="042324B3">
      <w:pPr>
        <w:rPr>
          <w:b/>
          <w:u w:val="single"/>
          <w:lang w:val="en-US"/>
        </w:rPr>
      </w:pPr>
      <w:r>
        <w:rPr>
          <w:b/>
          <w:u w:val="single"/>
          <w:lang w:val="en-US"/>
        </w:rPr>
        <w:t>Karya</w:t>
      </w:r>
    </w:p>
    <w:p w14:paraId="5343A870">
      <w:pPr>
        <w:pStyle w:val="33"/>
        <w:numPr>
          <w:ilvl w:val="1"/>
          <w:numId w:val="31"/>
        </w:numPr>
        <w:tabs>
          <w:tab w:val="clear" w:pos="1440"/>
        </w:tabs>
        <w:ind w:left="567" w:hanging="567"/>
        <w:rPr>
          <w:lang w:val="en-US"/>
        </w:rPr>
      </w:pPr>
      <w:r>
        <w:rPr>
          <w:lang w:val="en-US"/>
        </w:rPr>
        <w:t xml:space="preserve">Situs Web Instrumentasi-MKG, </w:t>
      </w:r>
      <w:r>
        <w:fldChar w:fldCharType="begin"/>
      </w:r>
      <w:r>
        <w:instrText xml:space="preserve"> HYPERLINK "http://instrumentasi.stmkg.ac.id/" </w:instrText>
      </w:r>
      <w:r>
        <w:fldChar w:fldCharType="separate"/>
      </w:r>
      <w:r>
        <w:rPr>
          <w:rStyle w:val="22"/>
          <w:color w:val="auto"/>
          <w:lang w:val="en-US"/>
        </w:rPr>
        <w:t>http://instrumentasi.stmkg.ac.id/</w:t>
      </w:r>
      <w:r>
        <w:rPr>
          <w:rStyle w:val="22"/>
          <w:color w:val="auto"/>
          <w:lang w:val="en-US"/>
        </w:rPr>
        <w:fldChar w:fldCharType="end"/>
      </w:r>
    </w:p>
    <w:p w14:paraId="65A1C07B">
      <w:pPr>
        <w:pStyle w:val="33"/>
        <w:numPr>
          <w:ilvl w:val="1"/>
          <w:numId w:val="31"/>
        </w:numPr>
        <w:tabs>
          <w:tab w:val="clear" w:pos="1440"/>
        </w:tabs>
        <w:ind w:left="567" w:hanging="567"/>
        <w:rPr>
          <w:lang w:val="en-US"/>
        </w:rPr>
      </w:pPr>
      <w:r>
        <w:rPr>
          <w:lang w:val="en-US"/>
        </w:rPr>
        <w:t xml:space="preserve">Situs Web STMKG, </w:t>
      </w:r>
      <w:r>
        <w:fldChar w:fldCharType="begin"/>
      </w:r>
      <w:r>
        <w:instrText xml:space="preserve"> HYPERLINK "https://stmkg.ac.id/" </w:instrText>
      </w:r>
      <w:r>
        <w:fldChar w:fldCharType="separate"/>
      </w:r>
      <w:r>
        <w:rPr>
          <w:rStyle w:val="22"/>
          <w:color w:val="auto"/>
          <w:lang w:val="en-US"/>
        </w:rPr>
        <w:t>https://stmkg.ac.id/</w:t>
      </w:r>
      <w:r>
        <w:rPr>
          <w:rStyle w:val="22"/>
          <w:color w:val="auto"/>
          <w:lang w:val="en-US"/>
        </w:rPr>
        <w:fldChar w:fldCharType="end"/>
      </w:r>
    </w:p>
    <w:p w14:paraId="096208D3">
      <w:pPr>
        <w:pStyle w:val="33"/>
        <w:numPr>
          <w:ilvl w:val="1"/>
          <w:numId w:val="31"/>
        </w:numPr>
        <w:tabs>
          <w:tab w:val="clear" w:pos="1440"/>
        </w:tabs>
        <w:ind w:left="567" w:hanging="567"/>
        <w:rPr>
          <w:lang w:val="en-US"/>
        </w:rPr>
      </w:pPr>
      <w:r>
        <w:rPr>
          <w:lang w:val="en-US"/>
        </w:rPr>
        <w:t xml:space="preserve">Situs Web Resimen Taruna STMKG, </w:t>
      </w:r>
      <w:r>
        <w:fldChar w:fldCharType="begin"/>
      </w:r>
      <w:r>
        <w:instrText xml:space="preserve"> HYPERLINK "https://resimen.stmkg.ac.id/" </w:instrText>
      </w:r>
      <w:r>
        <w:fldChar w:fldCharType="separate"/>
      </w:r>
      <w:r>
        <w:rPr>
          <w:rStyle w:val="22"/>
          <w:color w:val="auto"/>
          <w:lang w:val="en-US"/>
        </w:rPr>
        <w:t>https://resimen.stmkg.ac.id/</w:t>
      </w:r>
      <w:r>
        <w:rPr>
          <w:rStyle w:val="22"/>
          <w:color w:val="auto"/>
          <w:lang w:val="en-US"/>
        </w:rPr>
        <w:fldChar w:fldCharType="end"/>
      </w:r>
    </w:p>
    <w:p w14:paraId="10F94DD6">
      <w:pPr>
        <w:pStyle w:val="33"/>
        <w:numPr>
          <w:ilvl w:val="1"/>
          <w:numId w:val="31"/>
        </w:numPr>
        <w:tabs>
          <w:tab w:val="clear" w:pos="1440"/>
        </w:tabs>
        <w:ind w:left="567" w:hanging="567"/>
        <w:rPr>
          <w:lang w:val="en-US"/>
        </w:rPr>
      </w:pPr>
      <w:r>
        <w:rPr>
          <w:lang w:val="en-US"/>
        </w:rPr>
        <w:t xml:space="preserve">Situs Web Pasukan Khusus STMKG, </w:t>
      </w:r>
      <w:r>
        <w:fldChar w:fldCharType="begin"/>
      </w:r>
      <w:r>
        <w:instrText xml:space="preserve"> HYPERLINK "https://passus.stmkg.ac.id/" </w:instrText>
      </w:r>
      <w:r>
        <w:fldChar w:fldCharType="separate"/>
      </w:r>
      <w:r>
        <w:rPr>
          <w:rStyle w:val="22"/>
          <w:color w:val="auto"/>
          <w:lang w:val="en-US"/>
        </w:rPr>
        <w:t>https://passus.stmkg.ac.id/</w:t>
      </w:r>
      <w:r>
        <w:rPr>
          <w:rStyle w:val="22"/>
          <w:color w:val="auto"/>
          <w:lang w:val="en-US"/>
        </w:rPr>
        <w:fldChar w:fldCharType="end"/>
      </w:r>
    </w:p>
    <w:p w14:paraId="472BD3A6">
      <w:pPr>
        <w:pStyle w:val="33"/>
        <w:numPr>
          <w:ilvl w:val="1"/>
          <w:numId w:val="31"/>
        </w:numPr>
        <w:tabs>
          <w:tab w:val="clear" w:pos="1440"/>
        </w:tabs>
        <w:ind w:left="567" w:hanging="567"/>
        <w:rPr>
          <w:lang w:val="en-US"/>
        </w:rPr>
      </w:pPr>
      <w:r>
        <w:rPr>
          <w:lang w:val="en-US"/>
        </w:rPr>
        <w:t>Absensi Digital Berbasis Kartu Taruna dan RFID Perpustakaan STMKG</w:t>
      </w:r>
    </w:p>
    <w:p w14:paraId="77635706">
      <w:pPr>
        <w:pStyle w:val="33"/>
        <w:numPr>
          <w:ilvl w:val="1"/>
          <w:numId w:val="31"/>
        </w:numPr>
        <w:tabs>
          <w:tab w:val="clear" w:pos="1440"/>
        </w:tabs>
        <w:ind w:left="567" w:hanging="567"/>
        <w:rPr>
          <w:lang w:val="en-US"/>
        </w:rPr>
      </w:pPr>
      <w:r>
        <w:rPr>
          <w:lang w:val="en-US"/>
        </w:rPr>
        <w:t>Alat pendeteksi tsunami berbasis IoT untuk Pameran UNESCO Aceh 2025</w:t>
      </w:r>
    </w:p>
    <w:p w14:paraId="390E8B93">
      <w:pPr>
        <w:pStyle w:val="33"/>
        <w:numPr>
          <w:ilvl w:val="1"/>
          <w:numId w:val="31"/>
        </w:numPr>
        <w:tabs>
          <w:tab w:val="clear" w:pos="1440"/>
        </w:tabs>
        <w:ind w:left="567" w:hanging="567"/>
        <w:rPr>
          <w:lang w:val="en-US"/>
        </w:rPr>
      </w:pPr>
      <w:r>
        <w:rPr>
          <w:lang w:val="en-US"/>
        </w:rPr>
        <w:t xml:space="preserve">Alat pemantau kualitas udara berbasis IoT di Medan &amp; Danau Toba, Sumatera Utara, </w:t>
      </w:r>
      <w:r>
        <w:fldChar w:fldCharType="begin"/>
      </w:r>
      <w:r>
        <w:instrText xml:space="preserve"> HYPERLINK "http://samosair.netlify.app/" </w:instrText>
      </w:r>
      <w:r>
        <w:fldChar w:fldCharType="separate"/>
      </w:r>
      <w:r>
        <w:rPr>
          <w:rStyle w:val="22"/>
          <w:color w:val="auto"/>
          <w:lang w:val="en-US"/>
        </w:rPr>
        <w:t>http://samosair.netlify.app/</w:t>
      </w:r>
      <w:r>
        <w:rPr>
          <w:rStyle w:val="22"/>
          <w:color w:val="auto"/>
          <w:lang w:val="en-US"/>
        </w:rPr>
        <w:fldChar w:fldCharType="end"/>
      </w:r>
    </w:p>
    <w:p w14:paraId="7E0D4CC2">
      <w:pPr>
        <w:pStyle w:val="33"/>
        <w:numPr>
          <w:ilvl w:val="1"/>
          <w:numId w:val="31"/>
        </w:numPr>
        <w:tabs>
          <w:tab w:val="clear" w:pos="1440"/>
        </w:tabs>
        <w:ind w:left="567" w:hanging="567"/>
        <w:rPr>
          <w:lang w:val="en-US"/>
        </w:rPr>
      </w:pPr>
      <w:r>
        <w:rPr>
          <w:lang w:val="en-US"/>
        </w:rPr>
        <w:t xml:space="preserve">Alat pemantau kualitas udara peternakan unggas, </w:t>
      </w:r>
      <w:r>
        <w:fldChar w:fldCharType="begin"/>
      </w:r>
      <w:r>
        <w:instrText xml:space="preserve"> HYPERLINK "https://poultry-farm-monitoring.vercel.app/" </w:instrText>
      </w:r>
      <w:r>
        <w:fldChar w:fldCharType="separate"/>
      </w:r>
      <w:r>
        <w:rPr>
          <w:rStyle w:val="22"/>
          <w:color w:val="auto"/>
          <w:lang w:val="en-US"/>
        </w:rPr>
        <w:t>https://poultry-farm-monitoring.vercel.app/</w:t>
      </w:r>
      <w:r>
        <w:rPr>
          <w:rStyle w:val="22"/>
          <w:color w:val="auto"/>
          <w:lang w:val="en-US"/>
        </w:rPr>
        <w:fldChar w:fldCharType="end"/>
      </w:r>
      <w:r>
        <w:rPr>
          <w:lang w:val="en-US"/>
        </w:rPr>
        <w:t xml:space="preserve"> </w:t>
      </w:r>
    </w:p>
    <w:p w14:paraId="5F469DD2">
      <w:pPr>
        <w:pStyle w:val="33"/>
        <w:numPr>
          <w:ilvl w:val="1"/>
          <w:numId w:val="31"/>
        </w:numPr>
        <w:tabs>
          <w:tab w:val="clear" w:pos="1440"/>
        </w:tabs>
        <w:ind w:left="567" w:hanging="567"/>
        <w:rPr>
          <w:lang w:val="en-US"/>
        </w:rPr>
      </w:pPr>
      <w:r>
        <w:rPr>
          <w:lang w:val="en-US"/>
        </w:rPr>
        <w:t xml:space="preserve">Situs Web Rukun Kematian Warga VGH 3, Bekasi, </w:t>
      </w:r>
      <w:r>
        <w:fldChar w:fldCharType="begin"/>
      </w:r>
      <w:r>
        <w:instrText xml:space="preserve"> HYPERLINK "https://rukemvgh3.netlify.app/" </w:instrText>
      </w:r>
      <w:r>
        <w:fldChar w:fldCharType="separate"/>
      </w:r>
      <w:r>
        <w:rPr>
          <w:rStyle w:val="22"/>
          <w:color w:val="auto"/>
          <w:lang w:val="en-US"/>
        </w:rPr>
        <w:t>https://rukemvgh3.netlify.app/</w:t>
      </w:r>
      <w:r>
        <w:rPr>
          <w:rStyle w:val="22"/>
          <w:color w:val="auto"/>
          <w:lang w:val="en-US"/>
        </w:rPr>
        <w:fldChar w:fldCharType="end"/>
      </w:r>
    </w:p>
    <w:p w14:paraId="33215822">
      <w:pPr>
        <w:pStyle w:val="33"/>
        <w:numPr>
          <w:ilvl w:val="1"/>
          <w:numId w:val="31"/>
        </w:numPr>
        <w:tabs>
          <w:tab w:val="clear" w:pos="1440"/>
        </w:tabs>
        <w:ind w:left="567" w:hanging="567"/>
        <w:rPr>
          <w:lang w:val="en-US"/>
        </w:rPr>
      </w:pPr>
      <w:r>
        <w:rPr>
          <w:lang w:val="en-US"/>
        </w:rPr>
        <w:t>Situs Web Pusat Pembinaan Jabatan Fungsional Meteorologi, Klimatologi dan Geofisika</w:t>
      </w:r>
    </w:p>
    <w:p w14:paraId="213ED7D6">
      <w:pPr>
        <w:pStyle w:val="33"/>
        <w:numPr>
          <w:ilvl w:val="1"/>
          <w:numId w:val="31"/>
        </w:numPr>
        <w:tabs>
          <w:tab w:val="clear" w:pos="1440"/>
        </w:tabs>
        <w:ind w:left="567" w:hanging="567"/>
        <w:rPr>
          <w:lang w:val="en-US"/>
        </w:rPr>
      </w:pPr>
      <w:r>
        <w:rPr>
          <w:lang w:val="en-US"/>
        </w:rPr>
        <w:t xml:space="preserve">Kapal Autonomous Surface Vehicle, AURORA STMKG, </w:t>
      </w:r>
      <w:r>
        <w:fldChar w:fldCharType="begin"/>
      </w:r>
      <w:r>
        <w:instrText xml:space="preserve"> HYPERLINK "https://aurora-stmkg.netlify.app/" </w:instrText>
      </w:r>
      <w:r>
        <w:fldChar w:fldCharType="separate"/>
      </w:r>
      <w:r>
        <w:rPr>
          <w:rStyle w:val="22"/>
          <w:color w:val="auto"/>
          <w:lang w:val="en-US"/>
        </w:rPr>
        <w:t>https://aurora-stmkg.netlify.app/</w:t>
      </w:r>
      <w:r>
        <w:rPr>
          <w:rStyle w:val="22"/>
          <w:color w:val="auto"/>
          <w:lang w:val="en-US"/>
        </w:rPr>
        <w:fldChar w:fldCharType="end"/>
      </w:r>
    </w:p>
    <w:p w14:paraId="02EAEB29">
      <w:pPr>
        <w:pStyle w:val="33"/>
        <w:numPr>
          <w:ilvl w:val="1"/>
          <w:numId w:val="31"/>
        </w:numPr>
        <w:tabs>
          <w:tab w:val="clear" w:pos="1440"/>
        </w:tabs>
        <w:ind w:left="567" w:hanging="567"/>
        <w:rPr>
          <w:lang w:val="en-US"/>
        </w:rPr>
      </w:pPr>
      <w:r>
        <w:rPr>
          <w:lang w:val="en-US"/>
        </w:rPr>
        <w:t>Algoritma IFPOA-X</w:t>
      </w:r>
    </w:p>
    <w:p w14:paraId="094C4323">
      <w:pPr>
        <w:pStyle w:val="33"/>
        <w:numPr>
          <w:ilvl w:val="1"/>
          <w:numId w:val="31"/>
        </w:numPr>
        <w:tabs>
          <w:tab w:val="clear" w:pos="1440"/>
        </w:tabs>
        <w:ind w:left="567" w:hanging="567"/>
        <w:rPr>
          <w:lang w:val="en-US"/>
        </w:rPr>
      </w:pPr>
      <w:r>
        <w:rPr>
          <w:lang w:val="en-US"/>
        </w:rPr>
        <w:t xml:space="preserve">HAKI, NIMBARA (Neural Inpainting for Meteorological Beam-Blockage Radar Analysis), 2026 </w:t>
      </w:r>
    </w:p>
    <w:p w14:paraId="7611DCA9">
      <w:pPr>
        <w:pStyle w:val="33"/>
        <w:numPr>
          <w:ilvl w:val="1"/>
          <w:numId w:val="31"/>
        </w:numPr>
        <w:tabs>
          <w:tab w:val="clear" w:pos="1440"/>
        </w:tabs>
        <w:ind w:left="567" w:hanging="567"/>
        <w:rPr>
          <w:lang w:val="en-US"/>
        </w:rPr>
      </w:pPr>
      <w:r>
        <w:rPr>
          <w:lang w:val="en-US"/>
        </w:rPr>
        <w:t xml:space="preserve">HAKI, </w:t>
      </w:r>
      <w:r>
        <w:rPr>
          <w:i/>
          <w:lang w:val="en-US"/>
        </w:rPr>
        <w:t>Script Digital Inpainting Radar</w:t>
      </w:r>
      <w:r>
        <w:rPr>
          <w:lang w:val="en-US"/>
        </w:rPr>
        <w:t>, 2026</w:t>
      </w:r>
    </w:p>
    <w:p w14:paraId="4DB854E2">
      <w:pPr>
        <w:pStyle w:val="33"/>
        <w:numPr>
          <w:ilvl w:val="1"/>
          <w:numId w:val="31"/>
        </w:numPr>
        <w:tabs>
          <w:tab w:val="clear" w:pos="1440"/>
        </w:tabs>
        <w:ind w:left="567" w:hanging="567"/>
        <w:rPr>
          <w:lang w:val="en-US"/>
        </w:rPr>
      </w:pPr>
      <w:r>
        <w:rPr>
          <w:lang w:val="en-US"/>
        </w:rPr>
        <w:t>HAKI, Sistem Absensi Digital Perpustakaan STMKG, 2026</w:t>
      </w:r>
    </w:p>
    <w:p w14:paraId="25C669C8">
      <w:pPr>
        <w:pStyle w:val="33"/>
        <w:numPr>
          <w:ilvl w:val="1"/>
          <w:numId w:val="31"/>
        </w:numPr>
        <w:tabs>
          <w:tab w:val="clear" w:pos="1440"/>
        </w:tabs>
        <w:ind w:left="567" w:hanging="567"/>
        <w:rPr>
          <w:lang w:val="en-US"/>
        </w:rPr>
      </w:pPr>
      <w:r>
        <w:rPr>
          <w:lang w:val="en-US"/>
        </w:rPr>
        <w:t xml:space="preserve">HAKI, </w:t>
      </w:r>
      <w:r>
        <w:rPr>
          <w:i/>
          <w:lang w:val="en-US"/>
        </w:rPr>
        <w:t xml:space="preserve">Framework </w:t>
      </w:r>
      <w:r>
        <w:rPr>
          <w:lang w:val="en-US"/>
        </w:rPr>
        <w:t>ToMarx, 2026</w:t>
      </w:r>
    </w:p>
    <w:p w14:paraId="2803FAD0">
      <w:pPr>
        <w:pStyle w:val="33"/>
        <w:numPr>
          <w:ilvl w:val="1"/>
          <w:numId w:val="31"/>
        </w:numPr>
        <w:tabs>
          <w:tab w:val="clear" w:pos="1440"/>
        </w:tabs>
        <w:ind w:left="567" w:hanging="567"/>
        <w:rPr>
          <w:lang w:val="en-US"/>
        </w:rPr>
      </w:pPr>
      <w:r>
        <w:rPr>
          <w:lang w:val="en-US"/>
        </w:rPr>
        <w:t xml:space="preserve">HAKI, </w:t>
      </w:r>
      <w:r>
        <w:rPr>
          <w:i/>
          <w:lang w:val="en-US"/>
        </w:rPr>
        <w:t>Wireguard</w:t>
      </w:r>
      <w:r>
        <w:rPr>
          <w:lang w:val="en-US"/>
        </w:rPr>
        <w:t>, 2026</w:t>
      </w:r>
    </w:p>
    <w:p w14:paraId="5038A44D">
      <w:pPr>
        <w:pStyle w:val="33"/>
        <w:numPr>
          <w:ilvl w:val="1"/>
          <w:numId w:val="31"/>
        </w:numPr>
        <w:tabs>
          <w:tab w:val="clear" w:pos="1440"/>
        </w:tabs>
        <w:ind w:left="567" w:hanging="567"/>
        <w:rPr>
          <w:lang w:val="en-US"/>
        </w:rPr>
      </w:pPr>
      <w:r>
        <w:rPr>
          <w:lang w:val="en-US"/>
        </w:rPr>
        <w:t>HAKI, SAPU RESIK, 2026</w:t>
      </w:r>
    </w:p>
    <w:p w14:paraId="339D314B">
      <w:pPr>
        <w:rPr>
          <w:b/>
          <w:u w:val="single"/>
          <w:lang w:val="en-US"/>
        </w:rPr>
      </w:pPr>
      <w:r>
        <w:rPr>
          <w:b/>
          <w:u w:val="single"/>
          <w:lang w:val="en-US"/>
        </w:rPr>
        <w:t>Prestasi</w:t>
      </w:r>
    </w:p>
    <w:p w14:paraId="3078D494">
      <w:pPr>
        <w:pStyle w:val="33"/>
        <w:numPr>
          <w:ilvl w:val="1"/>
          <w:numId w:val="32"/>
        </w:numPr>
        <w:tabs>
          <w:tab w:val="clear" w:pos="1440"/>
        </w:tabs>
        <w:ind w:left="567" w:hanging="567"/>
        <w:rPr>
          <w:lang w:val="en-US"/>
        </w:rPr>
      </w:pPr>
      <w:r>
        <w:rPr>
          <w:lang w:val="en-US"/>
        </w:rPr>
        <w:t>Juara Harapan 3, Galabasvar 2 “Gemilang Warna Budaya Bangsa”, Paskibra SMAN 1 Babelan, 2015.</w:t>
      </w:r>
    </w:p>
    <w:p w14:paraId="267FEC70">
      <w:pPr>
        <w:pStyle w:val="33"/>
        <w:numPr>
          <w:ilvl w:val="1"/>
          <w:numId w:val="32"/>
        </w:numPr>
        <w:tabs>
          <w:tab w:val="clear" w:pos="1440"/>
        </w:tabs>
        <w:ind w:left="567" w:hanging="567"/>
        <w:rPr>
          <w:lang w:val="en-US"/>
        </w:rPr>
      </w:pPr>
      <w:r>
        <w:rPr>
          <w:lang w:val="en-US"/>
        </w:rPr>
        <w:t>Juara Harapan 2, Lomba LPBB Karya Anak Bangsa I Tingkat SMA/SMK/MA Sederajat se-Jabodetabek dan Karawang, Resimen Mahasiswa Jayakarta Universitas Bhayangkara Jakarta Raya, 2015.</w:t>
      </w:r>
    </w:p>
    <w:p w14:paraId="149E40C8">
      <w:pPr>
        <w:pStyle w:val="33"/>
        <w:numPr>
          <w:ilvl w:val="1"/>
          <w:numId w:val="32"/>
        </w:numPr>
        <w:tabs>
          <w:tab w:val="clear" w:pos="1440"/>
        </w:tabs>
        <w:ind w:left="567" w:hanging="567"/>
        <w:rPr>
          <w:lang w:val="en-US"/>
        </w:rPr>
      </w:pPr>
      <w:r>
        <w:rPr>
          <w:lang w:val="en-US"/>
        </w:rPr>
        <w:t>Juara Mula 1, LKBB “Sadega Competition 2016” Tingkat SMP/MTs dan SMA/MA/SMK se-Nusantara, SMK Pelita YNH Kota Sukabumi, 2016.</w:t>
      </w:r>
    </w:p>
    <w:p w14:paraId="1628060F">
      <w:pPr>
        <w:pStyle w:val="33"/>
        <w:numPr>
          <w:ilvl w:val="1"/>
          <w:numId w:val="32"/>
        </w:numPr>
        <w:tabs>
          <w:tab w:val="clear" w:pos="1440"/>
        </w:tabs>
        <w:ind w:left="567" w:hanging="567"/>
        <w:rPr>
          <w:lang w:val="en-US"/>
        </w:rPr>
      </w:pPr>
      <w:r>
        <w:rPr>
          <w:lang w:val="en-US"/>
        </w:rPr>
        <w:t>Juara Utama 1 (Juara Umum), Gelar Lomba Pelajar Antar Sekolah (GLOPASKO), SMKN 1 Cikarang Barat, 2016.</w:t>
      </w:r>
    </w:p>
    <w:p w14:paraId="187D3948">
      <w:pPr>
        <w:pStyle w:val="33"/>
        <w:numPr>
          <w:ilvl w:val="1"/>
          <w:numId w:val="32"/>
        </w:numPr>
        <w:tabs>
          <w:tab w:val="clear" w:pos="1440"/>
        </w:tabs>
        <w:ind w:left="567" w:hanging="567"/>
        <w:rPr>
          <w:lang w:val="en-US"/>
        </w:rPr>
      </w:pPr>
      <w:r>
        <w:rPr>
          <w:lang w:val="en-US"/>
        </w:rPr>
        <w:t>Juara Utama 2, Lomba Gerak Ekstra dan Variasi Indah (GARASI) ke-10, Paskibra MAN 1 Kota Bekasi, 2017.</w:t>
      </w:r>
    </w:p>
    <w:p w14:paraId="170B2BBE">
      <w:pPr>
        <w:pStyle w:val="33"/>
        <w:numPr>
          <w:ilvl w:val="1"/>
          <w:numId w:val="32"/>
        </w:numPr>
        <w:tabs>
          <w:tab w:val="clear" w:pos="1440"/>
        </w:tabs>
        <w:ind w:left="567" w:hanging="567"/>
        <w:rPr>
          <w:lang w:val="en-US"/>
        </w:rPr>
      </w:pPr>
      <w:r>
        <w:rPr>
          <w:lang w:val="en-US"/>
        </w:rPr>
        <w:t>Juara Utama 1, Gelar Aksi Langkah Kreasi Baris-Berbaris IV (GALAKSI IV), Paskibra SMA Negeri 1 Cabangbungin, 2017.</w:t>
      </w:r>
    </w:p>
    <w:p w14:paraId="2299CE6C">
      <w:pPr>
        <w:pStyle w:val="33"/>
        <w:numPr>
          <w:ilvl w:val="1"/>
          <w:numId w:val="32"/>
        </w:numPr>
        <w:tabs>
          <w:tab w:val="clear" w:pos="1440"/>
        </w:tabs>
        <w:ind w:left="567" w:hanging="567"/>
        <w:rPr>
          <w:lang w:val="en-US"/>
        </w:rPr>
      </w:pPr>
      <w:r>
        <w:rPr>
          <w:lang w:val="en-US"/>
        </w:rPr>
        <w:t>Juara 1 Danton Terbaik, Gelar Lomba Pelajar Antar Sekolah (GLOPASKO), Paskibra Brigaspad SMK Negeri 1 Cikarang Barat, 2017.</w:t>
      </w:r>
    </w:p>
    <w:p w14:paraId="0190DA22">
      <w:pPr>
        <w:pStyle w:val="33"/>
        <w:numPr>
          <w:ilvl w:val="1"/>
          <w:numId w:val="32"/>
        </w:numPr>
        <w:tabs>
          <w:tab w:val="clear" w:pos="1440"/>
        </w:tabs>
        <w:ind w:left="567" w:hanging="567"/>
        <w:rPr>
          <w:lang w:val="en-US"/>
        </w:rPr>
      </w:pPr>
      <w:r>
        <w:rPr>
          <w:lang w:val="en-US"/>
        </w:rPr>
        <w:t>Juara Madya II, LKBB Gelora IV Tingkat SMA/SMK/MA/Sederajat, Paskibra SMA Negeri 3 Kota Bekasi, 2017.</w:t>
      </w:r>
    </w:p>
    <w:p w14:paraId="2D0CF61C">
      <w:pPr>
        <w:pStyle w:val="33"/>
        <w:numPr>
          <w:ilvl w:val="1"/>
          <w:numId w:val="32"/>
        </w:numPr>
        <w:tabs>
          <w:tab w:val="clear" w:pos="1440"/>
        </w:tabs>
        <w:ind w:left="567" w:hanging="567"/>
        <w:rPr>
          <w:lang w:val="en-US"/>
        </w:rPr>
      </w:pPr>
      <w:r>
        <w:rPr>
          <w:lang w:val="en-US"/>
        </w:rPr>
        <w:t>Juara Wawasan Budaya II, LKBB Pendekar II Tingkat SMP/MTs dan SMA/SMK/MA Sederajat se-Pulau Jawa Terbuka, Paskibra SMK Malaka Jakarta Timur, 2018.</w:t>
      </w:r>
    </w:p>
    <w:p w14:paraId="654A6D02">
      <w:pPr>
        <w:pStyle w:val="33"/>
        <w:numPr>
          <w:ilvl w:val="1"/>
          <w:numId w:val="32"/>
        </w:numPr>
        <w:tabs>
          <w:tab w:val="clear" w:pos="1440"/>
        </w:tabs>
        <w:ind w:left="567" w:hanging="567"/>
        <w:rPr>
          <w:lang w:val="en-US"/>
        </w:rPr>
      </w:pPr>
      <w:r>
        <w:rPr>
          <w:lang w:val="en-US"/>
        </w:rPr>
        <w:t>Finalis Pembuatan dan Peforma Prototype Kapal Autonomous Surface Vehicle, Kontes Kapal Indonesia, UI, 2023.</w:t>
      </w:r>
    </w:p>
    <w:p w14:paraId="7344CD16">
      <w:pPr>
        <w:pStyle w:val="33"/>
        <w:numPr>
          <w:ilvl w:val="1"/>
          <w:numId w:val="32"/>
        </w:numPr>
        <w:tabs>
          <w:tab w:val="clear" w:pos="1440"/>
        </w:tabs>
        <w:ind w:left="567" w:hanging="567"/>
        <w:rPr>
          <w:lang w:val="en-US"/>
        </w:rPr>
      </w:pPr>
      <w:r>
        <w:rPr>
          <w:lang w:val="en-US"/>
        </w:rPr>
        <w:t>Finalis Pembuatan dan Peforma Prototype Kapal Autonomous Surface Vehicle, Kontes Kapal Indonesia, PPNS, 2024.</w:t>
      </w:r>
    </w:p>
    <w:p w14:paraId="317CC7F8">
      <w:pPr>
        <w:pStyle w:val="33"/>
        <w:numPr>
          <w:ilvl w:val="1"/>
          <w:numId w:val="32"/>
        </w:numPr>
        <w:tabs>
          <w:tab w:val="clear" w:pos="1440"/>
        </w:tabs>
        <w:ind w:left="567" w:hanging="567"/>
        <w:rPr>
          <w:lang w:val="en-US"/>
        </w:rPr>
      </w:pPr>
      <w:r>
        <w:rPr>
          <w:lang w:val="en-US"/>
        </w:rPr>
        <w:t>Finalis AI Datathon, KORIKA X BMKG, 2024.</w:t>
      </w:r>
    </w:p>
    <w:p w14:paraId="1B103C0E">
      <w:pPr>
        <w:pStyle w:val="33"/>
        <w:numPr>
          <w:ilvl w:val="1"/>
          <w:numId w:val="32"/>
        </w:numPr>
        <w:tabs>
          <w:tab w:val="clear" w:pos="1440"/>
        </w:tabs>
        <w:ind w:left="567" w:hanging="567"/>
        <w:rPr>
          <w:lang w:val="en-US"/>
        </w:rPr>
      </w:pPr>
      <w:r>
        <w:rPr>
          <w:lang w:val="en-US"/>
        </w:rPr>
        <w:t>Juara 2 Lomba Karya Tulis Ilmiah, Pekan Ilmiah Perguruan Tinggi Kedinasan (PIPTK), Forum Mahasiswa Kedinasan Indonesia (FMKI), 2024.</w:t>
      </w:r>
    </w:p>
    <w:p w14:paraId="58DC9916">
      <w:pPr>
        <w:pStyle w:val="33"/>
        <w:numPr>
          <w:ilvl w:val="1"/>
          <w:numId w:val="32"/>
        </w:numPr>
        <w:tabs>
          <w:tab w:val="clear" w:pos="1440"/>
        </w:tabs>
        <w:ind w:left="567" w:hanging="567"/>
        <w:rPr>
          <w:lang w:val="en-US"/>
        </w:rPr>
      </w:pPr>
      <w:r>
        <w:rPr>
          <w:lang w:val="en-US"/>
        </w:rPr>
        <w:t>Juara 1 Lomba Karya Tulis Ilmiah, Instrument Research Club, STMKG, 2025.</w:t>
      </w:r>
    </w:p>
    <w:p w14:paraId="21E9BD15">
      <w:pPr>
        <w:pStyle w:val="33"/>
        <w:numPr>
          <w:ilvl w:val="1"/>
          <w:numId w:val="32"/>
        </w:numPr>
        <w:ind w:left="567" w:hanging="567"/>
        <w:rPr>
          <w:lang w:val="en-US"/>
        </w:rPr>
      </w:pPr>
      <w:r>
        <w:rPr>
          <w:lang w:val="en-US"/>
        </w:rPr>
        <w:t>Juara 1 Lomba Essay, Empowering Education, UNESA, 2025.</w:t>
      </w:r>
    </w:p>
    <w:p w14:paraId="551CDB2A">
      <w:pPr>
        <w:pStyle w:val="33"/>
        <w:numPr>
          <w:ilvl w:val="1"/>
          <w:numId w:val="32"/>
        </w:numPr>
        <w:ind w:left="567" w:hanging="567"/>
        <w:rPr>
          <w:lang w:val="en-US"/>
        </w:rPr>
      </w:pPr>
      <w:r>
        <w:rPr>
          <w:lang w:val="en-US"/>
        </w:rPr>
        <w:t>Finalis Papedanomics 2026, Bank Indonesia Papua Barat.</w:t>
      </w:r>
    </w:p>
    <w:p w14:paraId="1F078B2C">
      <w:pPr>
        <w:rPr>
          <w:lang w:val="en-US"/>
        </w:rPr>
      </w:pPr>
    </w:p>
    <w:p w14:paraId="7F72E7D4">
      <w:pPr>
        <w:rPr>
          <w:lang w:val="en-US"/>
        </w:rPr>
      </w:pPr>
    </w:p>
    <w:p w14:paraId="7634AFD7">
      <w:pPr>
        <w:rPr>
          <w:rFonts w:cs="Times New Roman"/>
          <w:szCs w:val="24"/>
          <w:u w:val="single"/>
          <w:lang w:val="en-US"/>
        </w:rPr>
      </w:pPr>
    </w:p>
    <w:p w14:paraId="5E4AC6D0">
      <w:pPr>
        <w:pStyle w:val="11"/>
        <w:rPr>
          <w:b/>
          <w:i w:val="0"/>
          <w:color w:val="auto"/>
          <w:sz w:val="24"/>
        </w:rPr>
      </w:pPr>
    </w:p>
    <w:p w14:paraId="75B9EF34">
      <w:pPr>
        <w:pStyle w:val="11"/>
        <w:rPr>
          <w:b/>
          <w:i w:val="0"/>
          <w:color w:val="auto"/>
          <w:sz w:val="24"/>
        </w:rPr>
      </w:pPr>
      <w:r>
        <w:rPr>
          <w:b/>
          <w:i w:val="0"/>
          <w:color w:val="auto"/>
          <w:sz w:val="24"/>
        </w:rPr>
        <w:br w:type="page"/>
      </w:r>
    </w:p>
    <w:p w14:paraId="791A8F54">
      <w:pPr>
        <w:pStyle w:val="11"/>
        <w:rPr>
          <w:b/>
          <w:i w:val="0"/>
          <w:color w:val="auto"/>
          <w:sz w:val="24"/>
          <w:lang w:val="en-US"/>
        </w:rPr>
      </w:pPr>
      <w:bookmarkStart w:id="160" w:name="_Toc236213077"/>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2</w:t>
      </w:r>
      <w:r>
        <w:rPr>
          <w:b/>
          <w:i w:val="0"/>
          <w:color w:val="auto"/>
          <w:sz w:val="24"/>
        </w:rPr>
        <w:fldChar w:fldCharType="end"/>
      </w:r>
      <w:r>
        <w:rPr>
          <w:b/>
          <w:i w:val="0"/>
          <w:color w:val="auto"/>
          <w:sz w:val="24"/>
          <w:lang w:val="en-US"/>
        </w:rPr>
        <w:tab/>
      </w:r>
      <w:r>
        <w:rPr>
          <w:b/>
          <w:color w:val="auto"/>
          <w:sz w:val="24"/>
          <w:lang w:val="en-US"/>
        </w:rPr>
        <w:t>Pseudocode</w:t>
      </w:r>
      <w:r>
        <w:rPr>
          <w:b/>
          <w:i w:val="0"/>
          <w:color w:val="auto"/>
          <w:sz w:val="24"/>
          <w:lang w:val="en-US"/>
        </w:rPr>
        <w:t xml:space="preserve"> IFPOA-X</w:t>
      </w:r>
      <w:bookmarkEnd w:id="160"/>
    </w:p>
    <w:p w14:paraId="7382F9B0">
      <w:pPr>
        <w:pStyle w:val="11"/>
        <w:rPr>
          <w:b/>
          <w:i w:val="0"/>
          <w:color w:val="auto"/>
          <w:sz w:val="22"/>
          <w:lang w:val="en-US"/>
        </w:rPr>
      </w:pPr>
      <w:r>
        <w:rPr>
          <w:b/>
          <w:i w:val="0"/>
          <w:color w:val="auto"/>
          <w:sz w:val="22"/>
          <w:lang w:val="en-US"/>
        </w:rPr>
        <w:drawing>
          <wp:inline distT="0" distB="0" distL="0" distR="0">
            <wp:extent cx="4991100" cy="8107045"/>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70">
                      <a:extLst>
                        <a:ext uri="{28A0092B-C50C-407E-A947-70E740481C1C}">
                          <a14:useLocalDpi xmlns:a14="http://schemas.microsoft.com/office/drawing/2010/main" val="0"/>
                        </a:ext>
                      </a:extLst>
                    </a:blip>
                    <a:srcRect l="7415" r="5579"/>
                    <a:stretch>
                      <a:fillRect/>
                    </a:stretch>
                  </pic:blipFill>
                  <pic:spPr>
                    <a:xfrm>
                      <a:off x="0" y="0"/>
                      <a:ext cx="5004391" cy="8128635"/>
                    </a:xfrm>
                    <a:prstGeom prst="rect">
                      <a:avLst/>
                    </a:prstGeom>
                    <a:ln>
                      <a:noFill/>
                    </a:ln>
                  </pic:spPr>
                </pic:pic>
              </a:graphicData>
            </a:graphic>
          </wp:inline>
        </w:drawing>
      </w:r>
    </w:p>
    <w:p w14:paraId="704ED758">
      <w:pPr>
        <w:pStyle w:val="11"/>
        <w:rPr>
          <w:b/>
          <w:i w:val="0"/>
          <w:color w:val="auto"/>
          <w:sz w:val="24"/>
          <w:lang w:val="en-US"/>
        </w:rPr>
      </w:pPr>
      <w:bookmarkStart w:id="161" w:name="_Toc236213078"/>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3</w:t>
      </w:r>
      <w:r>
        <w:rPr>
          <w:b/>
          <w:i w:val="0"/>
          <w:color w:val="auto"/>
          <w:sz w:val="24"/>
        </w:rPr>
        <w:fldChar w:fldCharType="end"/>
      </w:r>
      <w:r>
        <w:rPr>
          <w:b/>
          <w:i w:val="0"/>
          <w:color w:val="auto"/>
          <w:sz w:val="24"/>
        </w:rPr>
        <w:tab/>
      </w:r>
      <w:r>
        <w:rPr>
          <w:b/>
          <w:i w:val="0"/>
          <w:color w:val="auto"/>
          <w:sz w:val="24"/>
          <w:lang w:val="en-US"/>
        </w:rPr>
        <w:t>Transformasi FPA menjadi IFPOA-X</w:t>
      </w:r>
      <w:bookmarkEnd w:id="161"/>
    </w:p>
    <w:p w14:paraId="269FC4A0">
      <w:pPr>
        <w:ind w:firstLine="720"/>
        <w:rPr>
          <w:vertAlign w:val="subscript"/>
          <w:lang w:val="en-US"/>
        </w:rPr>
      </w:pPr>
      <w:r>
        <w:rPr>
          <w:lang w:val="en-US"/>
        </w:rPr>
        <w:t>Lampiran ini menyajikan visualisasi komparatif yang merangkum mekanisme dasar FPA, mekanisme yang dimodifikasi, serta komponen tambahan dalam IFPOA-X. Visualisasi ini merupakan pelengkap dari pembahasan pada Subbab 3.3.3 dan hasil evaluasi pada Subbab 4.1.</w:t>
      </w:r>
    </w:p>
    <w:p w14:paraId="7156FB25">
      <w:pPr>
        <w:rPr>
          <w:lang w:val="en-US"/>
        </w:rPr>
      </w:pPr>
      <w:r>
        <w:rPr>
          <w:lang w:val="en-US"/>
        </w:rPr>
        <w:drawing>
          <wp:inline distT="0" distB="0" distL="0" distR="0">
            <wp:extent cx="5323840" cy="32232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71" cstate="print">
                      <a:extLst>
                        <a:ext uri="{28A0092B-C50C-407E-A947-70E740481C1C}">
                          <a14:useLocalDpi xmlns:a14="http://schemas.microsoft.com/office/drawing/2010/main" val="0"/>
                        </a:ext>
                      </a:extLst>
                    </a:blip>
                    <a:srcRect l="2724" t="6416" r="2548" b="12529"/>
                    <a:stretch>
                      <a:fillRect/>
                    </a:stretch>
                  </pic:blipFill>
                  <pic:spPr>
                    <a:xfrm>
                      <a:off x="0" y="0"/>
                      <a:ext cx="5328835" cy="3226244"/>
                    </a:xfrm>
                    <a:prstGeom prst="rect">
                      <a:avLst/>
                    </a:prstGeom>
                    <a:ln>
                      <a:noFill/>
                    </a:ln>
                  </pic:spPr>
                </pic:pic>
              </a:graphicData>
            </a:graphic>
          </wp:inline>
        </w:drawing>
      </w:r>
    </w:p>
    <w:p w14:paraId="69069747">
      <w:pPr>
        <w:pStyle w:val="11"/>
        <w:rPr>
          <w:b/>
          <w:i w:val="0"/>
          <w:color w:val="auto"/>
          <w:sz w:val="24"/>
        </w:rPr>
      </w:pPr>
      <w:r>
        <w:rPr>
          <w:b/>
          <w:i w:val="0"/>
          <w:color w:val="auto"/>
          <w:sz w:val="24"/>
        </w:rPr>
        <w:br w:type="page"/>
      </w:r>
    </w:p>
    <w:p w14:paraId="2230A913">
      <w:pPr>
        <w:pStyle w:val="11"/>
        <w:rPr>
          <w:b/>
          <w:color w:val="auto"/>
          <w:sz w:val="24"/>
          <w:lang w:val="en-US"/>
        </w:rPr>
      </w:pPr>
      <w:bookmarkStart w:id="162" w:name="_Toc236213079"/>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4</w:t>
      </w:r>
      <w:r>
        <w:rPr>
          <w:b/>
          <w:i w:val="0"/>
          <w:color w:val="auto"/>
          <w:sz w:val="24"/>
        </w:rPr>
        <w:fldChar w:fldCharType="end"/>
      </w:r>
      <w:r>
        <w:rPr>
          <w:b/>
          <w:i w:val="0"/>
          <w:color w:val="auto"/>
          <w:sz w:val="24"/>
          <w:lang w:val="en-US"/>
        </w:rPr>
        <w:tab/>
      </w:r>
      <w:r>
        <w:rPr>
          <w:b/>
          <w:color w:val="auto"/>
          <w:sz w:val="24"/>
          <w:lang w:val="en-US"/>
        </w:rPr>
        <w:t>Source Code Repository</w:t>
      </w:r>
      <w:bookmarkEnd w:id="162"/>
    </w:p>
    <w:p w14:paraId="493FF343">
      <w:pPr>
        <w:pStyle w:val="11"/>
        <w:ind w:firstLine="720"/>
        <w:rPr>
          <w:i w:val="0"/>
          <w:color w:val="auto"/>
          <w:sz w:val="24"/>
          <w:lang w:val="en-US"/>
        </w:rPr>
      </w:pPr>
      <w:r>
        <w:rPr>
          <w:i w:val="0"/>
          <w:color w:val="auto"/>
          <w:sz w:val="24"/>
          <w:lang w:val="en-US"/>
        </w:rPr>
        <w:t>Lampiran ini menyajikan sumber kode keseluruhan repositori yang disimpan di Github tonny2305.</w:t>
      </w:r>
    </w:p>
    <w:p w14:paraId="3FD30DC7">
      <w:pPr>
        <w:pStyle w:val="11"/>
        <w:jc w:val="center"/>
        <w:rPr>
          <w:i w:val="0"/>
          <w:color w:val="auto"/>
          <w:sz w:val="24"/>
          <w:lang w:val="en-US"/>
        </w:rPr>
      </w:pPr>
      <w:r>
        <w:fldChar w:fldCharType="begin"/>
      </w:r>
      <w:r>
        <w:instrText xml:space="preserve"> HYPERLINK "https://github.com/tonny2305/skripsi-transformer-ifpoax" </w:instrText>
      </w:r>
      <w:r>
        <w:fldChar w:fldCharType="separate"/>
      </w:r>
      <w:r>
        <w:rPr>
          <w:rStyle w:val="22"/>
          <w:i w:val="0"/>
          <w:sz w:val="24"/>
          <w:lang w:val="en-US"/>
        </w:rPr>
        <w:t>https://github.com/tonny2305/skripsi-transformer-ifpoax</w:t>
      </w:r>
      <w:r>
        <w:rPr>
          <w:rStyle w:val="22"/>
          <w:i w:val="0"/>
          <w:sz w:val="24"/>
          <w:lang w:val="en-US"/>
        </w:rPr>
        <w:fldChar w:fldCharType="end"/>
      </w:r>
    </w:p>
    <w:p w14:paraId="1EC456E6">
      <w:pPr>
        <w:pStyle w:val="11"/>
        <w:rPr>
          <w:b/>
          <w:i w:val="0"/>
          <w:color w:val="auto"/>
          <w:sz w:val="24"/>
          <w:lang w:val="en-US"/>
        </w:rPr>
      </w:pPr>
      <w:r>
        <w:rPr>
          <w:b/>
          <w:i w:val="0"/>
          <w:color w:val="auto"/>
          <w:sz w:val="24"/>
          <w:lang w:val="en-US"/>
        </w:rPr>
        <w:drawing>
          <wp:inline distT="0" distB="0" distL="0" distR="0">
            <wp:extent cx="5035550" cy="23533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035550" cy="2353833"/>
                    </a:xfrm>
                    <a:prstGeom prst="rect">
                      <a:avLst/>
                    </a:prstGeom>
                  </pic:spPr>
                </pic:pic>
              </a:graphicData>
            </a:graphic>
          </wp:inline>
        </w:drawing>
      </w:r>
    </w:p>
    <w:p w14:paraId="049F1530">
      <w:pPr>
        <w:pStyle w:val="11"/>
        <w:rPr>
          <w:b/>
          <w:i w:val="0"/>
          <w:color w:val="auto"/>
          <w:sz w:val="24"/>
        </w:rPr>
      </w:pPr>
      <w:bookmarkStart w:id="163" w:name="_Toc236213080"/>
      <w:r>
        <w:rPr>
          <w:b/>
          <w:i w:val="0"/>
          <w:color w:val="auto"/>
          <w:sz w:val="24"/>
        </w:rPr>
        <w:br w:type="page"/>
      </w:r>
    </w:p>
    <w:p w14:paraId="6D467398">
      <w:pPr>
        <w:pStyle w:val="11"/>
        <w:rPr>
          <w:b/>
          <w:i w:val="0"/>
          <w:color w:val="auto"/>
          <w:sz w:val="24"/>
          <w:lang w:val="en-US"/>
        </w:rPr>
      </w:pPr>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5</w:t>
      </w:r>
      <w:r>
        <w:rPr>
          <w:b/>
          <w:i w:val="0"/>
          <w:color w:val="auto"/>
          <w:sz w:val="24"/>
        </w:rPr>
        <w:fldChar w:fldCharType="end"/>
      </w:r>
      <w:r>
        <w:rPr>
          <w:b/>
          <w:i w:val="0"/>
          <w:color w:val="auto"/>
          <w:sz w:val="24"/>
          <w:lang w:val="en-US"/>
        </w:rPr>
        <w:tab/>
      </w:r>
      <w:r>
        <w:rPr>
          <w:b/>
          <w:i w:val="0"/>
          <w:color w:val="auto"/>
          <w:sz w:val="24"/>
          <w:lang w:val="en-US"/>
        </w:rPr>
        <w:t>Pola Musiman 9 titik lain di Jawa Barat</w:t>
      </w:r>
      <w:bookmarkEnd w:id="163"/>
    </w:p>
    <w:p w14:paraId="42CD7758">
      <w:pPr>
        <w:pStyle w:val="11"/>
        <w:rPr>
          <w:b/>
          <w:i w:val="0"/>
          <w:color w:val="auto"/>
          <w:sz w:val="24"/>
          <w:lang w:val="en-US"/>
        </w:rPr>
      </w:pPr>
      <w:r>
        <w:rPr>
          <w:rFonts w:cs="Times New Roman"/>
          <w:i w:val="0"/>
          <w:sz w:val="24"/>
          <w:szCs w:val="24"/>
        </w:rPr>
        <w:drawing>
          <wp:inline distT="0" distB="0" distL="0" distR="0">
            <wp:extent cx="4907280" cy="449580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73">
                      <a:extLst>
                        <a:ext uri="{28A0092B-C50C-407E-A947-70E740481C1C}">
                          <a14:useLocalDpi xmlns:a14="http://schemas.microsoft.com/office/drawing/2010/main" val="0"/>
                        </a:ext>
                      </a:extLst>
                    </a:blip>
                    <a:srcRect t="8385"/>
                    <a:stretch>
                      <a:fillRect/>
                    </a:stretch>
                  </pic:blipFill>
                  <pic:spPr>
                    <a:xfrm>
                      <a:off x="0" y="0"/>
                      <a:ext cx="4907983" cy="4496444"/>
                    </a:xfrm>
                    <a:prstGeom prst="rect">
                      <a:avLst/>
                    </a:prstGeom>
                    <a:ln>
                      <a:noFill/>
                    </a:ln>
                  </pic:spPr>
                </pic:pic>
              </a:graphicData>
            </a:graphic>
          </wp:inline>
        </w:drawing>
      </w:r>
      <w:r>
        <w:rPr>
          <w:b/>
          <w:i w:val="0"/>
          <w:color w:val="auto"/>
          <w:sz w:val="24"/>
          <w:lang w:val="en-US"/>
        </w:rPr>
        <w:br w:type="page"/>
      </w:r>
    </w:p>
    <w:p w14:paraId="5F683ED0">
      <w:pPr>
        <w:pStyle w:val="11"/>
        <w:rPr>
          <w:b/>
          <w:i w:val="0"/>
          <w:color w:val="auto"/>
          <w:sz w:val="24"/>
          <w:lang w:val="en-US"/>
        </w:rPr>
      </w:pPr>
      <w:bookmarkStart w:id="164" w:name="_Toc236213081"/>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6</w:t>
      </w:r>
      <w:r>
        <w:rPr>
          <w:b/>
          <w:i w:val="0"/>
          <w:color w:val="auto"/>
          <w:sz w:val="24"/>
        </w:rPr>
        <w:fldChar w:fldCharType="end"/>
      </w:r>
      <w:r>
        <w:rPr>
          <w:b/>
          <w:i w:val="0"/>
          <w:color w:val="auto"/>
          <w:sz w:val="24"/>
          <w:lang w:val="en-US"/>
        </w:rPr>
        <w:tab/>
      </w:r>
      <w:r>
        <w:rPr>
          <w:b/>
          <w:i w:val="0"/>
          <w:color w:val="auto"/>
          <w:sz w:val="24"/>
          <w:lang w:val="en-US"/>
        </w:rPr>
        <w:t xml:space="preserve">Grafik </w:t>
      </w:r>
      <w:r>
        <w:rPr>
          <w:b/>
          <w:color w:val="auto"/>
          <w:sz w:val="24"/>
          <w:lang w:val="en-US"/>
        </w:rPr>
        <w:t xml:space="preserve">time series </w:t>
      </w:r>
      <w:r>
        <w:rPr>
          <w:b/>
          <w:i w:val="0"/>
          <w:color w:val="auto"/>
          <w:sz w:val="24"/>
          <w:lang w:val="en-US"/>
        </w:rPr>
        <w:t>semua model</w:t>
      </w:r>
      <w:bookmarkEnd w:id="164"/>
    </w:p>
    <w:p w14:paraId="53E715E9">
      <w:pPr>
        <w:rPr>
          <w:lang w:val="en-US"/>
        </w:rPr>
      </w:pPr>
      <w:r>
        <w:rPr>
          <w:lang w:val="en-US"/>
        </w:rPr>
        <w:t xml:space="preserve">Lampiran ini menyajikan grafik </w:t>
      </w:r>
      <w:r>
        <w:rPr>
          <w:i/>
          <w:lang w:val="en-US"/>
        </w:rPr>
        <w:t xml:space="preserve">time series </w:t>
      </w:r>
      <w:r>
        <w:rPr>
          <w:lang w:val="en-US"/>
        </w:rPr>
        <w:t>hasil prediksi semua model</w:t>
      </w:r>
    </w:p>
    <w:p w14:paraId="3D3E9538">
      <w:pPr>
        <w:pStyle w:val="11"/>
        <w:keepNext/>
        <w:rPr>
          <w:rFonts w:cs="Times New Roman"/>
          <w:i w:val="0"/>
          <w:sz w:val="24"/>
          <w:szCs w:val="24"/>
        </w:rPr>
      </w:pPr>
      <w:r>
        <w:rPr>
          <w:rFonts w:cs="Times New Roman"/>
          <w:i w:val="0"/>
          <w:sz w:val="24"/>
          <w:szCs w:val="24"/>
        </w:rPr>
        <w:drawing>
          <wp:inline distT="0" distB="0" distL="114300" distR="114300">
            <wp:extent cx="4953635" cy="6071870"/>
            <wp:effectExtent l="0" t="0" r="12065" b="11430"/>
            <wp:docPr id="21" name="Picture" descr="Grid H+1 Semua Model Jawa B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descr="Grid H+1 Semua Model Jawa Barat"/>
                    <pic:cNvPicPr>
                      <a:picLocks noChangeAspect="1" noChangeArrowheads="1"/>
                    </pic:cNvPicPr>
                  </pic:nvPicPr>
                  <pic:blipFill>
                    <a:blip r:embed="rId74"/>
                    <a:stretch>
                      <a:fillRect/>
                    </a:stretch>
                  </pic:blipFill>
                  <pic:spPr>
                    <a:xfrm>
                      <a:off x="0" y="0"/>
                      <a:ext cx="4953635" cy="6071870"/>
                    </a:xfrm>
                    <a:prstGeom prst="rect">
                      <a:avLst/>
                    </a:prstGeom>
                    <a:noFill/>
                    <a:ln w="9525">
                      <a:noFill/>
                    </a:ln>
                  </pic:spPr>
                </pic:pic>
              </a:graphicData>
            </a:graphic>
          </wp:inline>
        </w:drawing>
      </w:r>
    </w:p>
    <w:p w14:paraId="24EF4F26">
      <w:pPr>
        <w:pStyle w:val="11"/>
        <w:keepNext/>
        <w:rPr>
          <w:rFonts w:cs="Times New Roman"/>
          <w:i w:val="0"/>
          <w:sz w:val="24"/>
          <w:szCs w:val="24"/>
        </w:rPr>
      </w:pPr>
    </w:p>
    <w:p w14:paraId="0A81FCE4">
      <w:pPr>
        <w:pStyle w:val="11"/>
        <w:rPr>
          <w:b/>
          <w:i w:val="0"/>
          <w:color w:val="auto"/>
          <w:sz w:val="24"/>
        </w:rPr>
      </w:pPr>
      <w:bookmarkStart w:id="165" w:name="_Toc236213082"/>
      <w:bookmarkStart w:id="166" w:name="lampiran-b-data-metrik-pendukung-bab-iv"/>
      <w:r>
        <w:rPr>
          <w:b/>
          <w:i w:val="0"/>
          <w:color w:val="auto"/>
          <w:sz w:val="24"/>
        </w:rPr>
        <w:br w:type="page"/>
      </w:r>
    </w:p>
    <w:p w14:paraId="4F40772C">
      <w:pPr>
        <w:pStyle w:val="11"/>
        <w:rPr>
          <w:b/>
          <w:i w:val="0"/>
          <w:color w:val="auto"/>
          <w:sz w:val="24"/>
          <w:lang w:val="en-US"/>
        </w:rPr>
      </w:pPr>
      <w:r>
        <w:rPr>
          <w:b/>
          <w:i w:val="0"/>
          <w:color w:val="auto"/>
          <w:sz w:val="24"/>
        </w:rPr>
        <w:t xml:space="preserve">Lampiran </w:t>
      </w:r>
      <w:r>
        <w:rPr>
          <w:b/>
          <w:i w:val="0"/>
          <w:color w:val="auto"/>
          <w:sz w:val="24"/>
        </w:rPr>
        <w:fldChar w:fldCharType="begin"/>
      </w:r>
      <w:r>
        <w:rPr>
          <w:b/>
          <w:i w:val="0"/>
          <w:color w:val="auto"/>
          <w:sz w:val="24"/>
        </w:rPr>
        <w:instrText xml:space="preserve"> SEQ Lampiran \* ARABIC </w:instrText>
      </w:r>
      <w:r>
        <w:rPr>
          <w:b/>
          <w:i w:val="0"/>
          <w:color w:val="auto"/>
          <w:sz w:val="24"/>
        </w:rPr>
        <w:fldChar w:fldCharType="separate"/>
      </w:r>
      <w:r>
        <w:rPr>
          <w:b/>
          <w:i w:val="0"/>
          <w:color w:val="auto"/>
          <w:sz w:val="24"/>
        </w:rPr>
        <w:t>7</w:t>
      </w:r>
      <w:r>
        <w:rPr>
          <w:b/>
          <w:i w:val="0"/>
          <w:color w:val="auto"/>
          <w:sz w:val="24"/>
        </w:rPr>
        <w:fldChar w:fldCharType="end"/>
      </w:r>
      <w:r>
        <w:rPr>
          <w:b/>
          <w:i w:val="0"/>
          <w:color w:val="auto"/>
          <w:sz w:val="24"/>
          <w:lang w:val="en-US"/>
        </w:rPr>
        <w:tab/>
      </w:r>
      <w:r>
        <w:rPr>
          <w:b/>
          <w:i w:val="0"/>
          <w:color w:val="auto"/>
          <w:sz w:val="24"/>
          <w:lang w:val="en-US"/>
        </w:rPr>
        <w:t>Tabel pendukung</w:t>
      </w:r>
      <w:bookmarkEnd w:id="165"/>
    </w:p>
    <w:p w14:paraId="1515CD1C">
      <w:pPr>
        <w:pStyle w:val="65"/>
        <w:rPr>
          <w:rFonts w:cs="Times New Roman"/>
          <w:bCs/>
          <w:iCs/>
          <w:szCs w:val="24"/>
          <w:lang w:val="en-US"/>
        </w:rPr>
      </w:pPr>
      <w:r>
        <w:rPr>
          <w:rFonts w:cs="Times New Roman"/>
          <w:bCs/>
          <w:iCs/>
          <w:szCs w:val="24"/>
        </w:rPr>
        <w:t xml:space="preserve">Bagian ini melengkapi lampiran tabel yang dirujuk pada Bab IV. </w:t>
      </w:r>
      <w:bookmarkStart w:id="167" w:name="salinan-lengkap-tabel-pendukung-bab-iv"/>
    </w:p>
    <w:p w14:paraId="006A79C7">
      <w:pPr>
        <w:pStyle w:val="5"/>
        <w:rPr>
          <w:rFonts w:cs="Times New Roman"/>
          <w:b/>
          <w:szCs w:val="24"/>
        </w:rPr>
      </w:pPr>
      <w:r>
        <w:rPr>
          <w:rFonts w:cs="Times New Roman"/>
          <w:b/>
          <w:bCs/>
          <w:iCs/>
          <w:szCs w:val="24"/>
        </w:rPr>
        <w:t>Evaluasi Multi-Horizon ToMarx pada Seluruh 10 Wilayah Sumber</w:t>
      </w:r>
    </w:p>
    <w:tbl>
      <w:tblPr>
        <w:tblStyle w:val="7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99"/>
        <w:gridCol w:w="1020"/>
        <w:gridCol w:w="729"/>
        <w:gridCol w:w="1039"/>
        <w:gridCol w:w="1253"/>
        <w:gridCol w:w="1253"/>
        <w:gridCol w:w="1253"/>
      </w:tblGrid>
      <w:tr w14:paraId="5280D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555" w:type="dxa"/>
            <w:vAlign w:val="center"/>
          </w:tcPr>
          <w:p w14:paraId="0FCE692A">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Wilayah</w:t>
            </w:r>
          </w:p>
        </w:tc>
        <w:tc>
          <w:tcPr>
            <w:tcW w:w="992" w:type="dxa"/>
            <w:vAlign w:val="center"/>
          </w:tcPr>
          <w:p w14:paraId="7CA527A1">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Horizon</w:t>
            </w:r>
          </w:p>
        </w:tc>
        <w:tc>
          <w:tcPr>
            <w:tcW w:w="709" w:type="dxa"/>
            <w:vAlign w:val="center"/>
          </w:tcPr>
          <w:p w14:paraId="66EE39BE">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N</w:t>
            </w:r>
          </w:p>
        </w:tc>
        <w:tc>
          <w:tcPr>
            <w:tcW w:w="1010" w:type="dxa"/>
            <w:vAlign w:val="center"/>
          </w:tcPr>
          <w:p w14:paraId="5C2A25FB">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RMSE (mm)</w:t>
            </w:r>
          </w:p>
        </w:tc>
        <w:tc>
          <w:tcPr>
            <w:tcW w:w="1218" w:type="dxa"/>
            <w:vAlign w:val="center"/>
          </w:tcPr>
          <w:p w14:paraId="580006F8">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MAE (mm)</w:t>
            </w:r>
          </w:p>
        </w:tc>
        <w:tc>
          <w:tcPr>
            <w:tcW w:w="1218" w:type="dxa"/>
            <w:vAlign w:val="center"/>
          </w:tcPr>
          <w:p w14:paraId="14182A71">
            <w:pPr>
              <w:pStyle w:val="66"/>
              <w:jc w:val="center"/>
              <w:rPr>
                <w:rFonts w:ascii="Times New Roman" w:hAnsi="Times New Roman" w:cs="Times New Roman"/>
                <w:b/>
                <w:bCs/>
                <w:iCs/>
                <w:sz w:val="18"/>
                <w:szCs w:val="18"/>
                <w:lang w:val="en-US"/>
              </w:rPr>
            </w:pPr>
            <m:oMathPara>
              <m:oMath>
                <m:sSup>
                  <m:sSupPr>
                    <m:ctrlPr>
                      <w:rPr>
                        <w:rFonts w:ascii="Cambria Math" w:hAnsi="Cambria Math" w:cs="Times New Roman"/>
                        <w:b/>
                        <w:bCs/>
                        <w:iCs/>
                        <w:sz w:val="18"/>
                        <w:szCs w:val="18"/>
                        <w:lang w:val="en-US"/>
                      </w:rPr>
                    </m:ctrlPr>
                  </m:sSupPr>
                  <m:e>
                    <m:r>
                      <m:rPr>
                        <m:sty m:val="b"/>
                      </m:rPr>
                      <w:rPr>
                        <w:rFonts w:ascii="Cambria Math" w:hAnsi="Cambria Math" w:cs="Times New Roman"/>
                        <w:sz w:val="18"/>
                        <w:szCs w:val="18"/>
                        <w:lang w:val="en-US"/>
                      </w:rPr>
                      <m:t>R</m:t>
                    </m:r>
                    <m:ctrlPr>
                      <w:rPr>
                        <w:rFonts w:ascii="Cambria Math" w:hAnsi="Cambria Math" w:cs="Times New Roman"/>
                        <w:b/>
                        <w:bCs/>
                        <w:iCs/>
                        <w:sz w:val="18"/>
                        <w:szCs w:val="18"/>
                        <w:lang w:val="en-US"/>
                      </w:rPr>
                    </m:ctrlPr>
                  </m:e>
                  <m:sup>
                    <m:r>
                      <m:rPr>
                        <m:sty m:val="b"/>
                      </m:rPr>
                      <w:rPr>
                        <w:rFonts w:ascii="Cambria Math" w:hAnsi="Cambria Math" w:cs="Times New Roman"/>
                        <w:sz w:val="18"/>
                        <w:szCs w:val="18"/>
                        <w:lang w:val="en-US"/>
                      </w:rPr>
                      <m:t>2</m:t>
                    </m:r>
                    <m:ctrlPr>
                      <w:rPr>
                        <w:rFonts w:ascii="Cambria Math" w:hAnsi="Cambria Math" w:cs="Times New Roman"/>
                        <w:b/>
                        <w:bCs/>
                        <w:iCs/>
                        <w:sz w:val="18"/>
                        <w:szCs w:val="18"/>
                        <w:lang w:val="en-US"/>
                      </w:rPr>
                    </m:ctrlPr>
                  </m:sup>
                </m:sSup>
              </m:oMath>
            </m:oMathPara>
          </w:p>
        </w:tc>
        <w:tc>
          <w:tcPr>
            <w:tcW w:w="1218" w:type="dxa"/>
            <w:vAlign w:val="center"/>
          </w:tcPr>
          <w:p w14:paraId="7E20FC6D">
            <w:pPr>
              <w:pStyle w:val="66"/>
              <w:jc w:val="center"/>
              <w:rPr>
                <w:rFonts w:ascii="Times New Roman" w:hAnsi="Times New Roman" w:cs="Times New Roman"/>
                <w:b/>
                <w:bCs/>
                <w:iCs/>
                <w:sz w:val="18"/>
                <w:szCs w:val="18"/>
                <w:lang w:val="en-US"/>
              </w:rPr>
            </w:pPr>
            <w:r>
              <w:rPr>
                <w:rFonts w:ascii="Times New Roman" w:hAnsi="Times New Roman" w:cs="Times New Roman"/>
                <w:b/>
                <w:bCs/>
                <w:iCs/>
                <w:sz w:val="18"/>
                <w:szCs w:val="18"/>
                <w:lang w:val="en-US"/>
              </w:rPr>
              <w:t>CC</w:t>
            </w:r>
          </w:p>
        </w:tc>
      </w:tr>
      <w:tr w14:paraId="4A4F8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33D6991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4ABAFAC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0233FA8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F1E595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71,91</w:t>
            </w:r>
          </w:p>
        </w:tc>
        <w:tc>
          <w:tcPr>
            <w:tcW w:w="1218" w:type="dxa"/>
          </w:tcPr>
          <w:p w14:paraId="6A56521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54,98</w:t>
            </w:r>
          </w:p>
        </w:tc>
        <w:tc>
          <w:tcPr>
            <w:tcW w:w="1218" w:type="dxa"/>
          </w:tcPr>
          <w:p w14:paraId="0C9769D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0,533</w:t>
            </w:r>
          </w:p>
        </w:tc>
        <w:tc>
          <w:tcPr>
            <w:tcW w:w="1218" w:type="dxa"/>
          </w:tcPr>
          <w:p w14:paraId="27C4F74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0,758</w:t>
            </w:r>
          </w:p>
        </w:tc>
      </w:tr>
      <w:tr w14:paraId="1E723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6812283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1B9D96D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07B01C7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0A416FE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98,07</w:t>
            </w:r>
          </w:p>
        </w:tc>
        <w:tc>
          <w:tcPr>
            <w:tcW w:w="1218" w:type="dxa"/>
          </w:tcPr>
          <w:p w14:paraId="0B6DD26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68,07</w:t>
            </w:r>
          </w:p>
        </w:tc>
        <w:tc>
          <w:tcPr>
            <w:tcW w:w="1218" w:type="dxa"/>
          </w:tcPr>
          <w:p w14:paraId="0F2C52D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0,294</w:t>
            </w:r>
          </w:p>
        </w:tc>
        <w:tc>
          <w:tcPr>
            <w:tcW w:w="1218" w:type="dxa"/>
          </w:tcPr>
          <w:p w14:paraId="3273C5A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0,576</w:t>
            </w:r>
          </w:p>
        </w:tc>
      </w:tr>
      <w:tr w14:paraId="22346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1DD708D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5D7BBFC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6F78352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719C753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93,58</w:t>
            </w:r>
          </w:p>
        </w:tc>
        <w:tc>
          <w:tcPr>
            <w:tcW w:w="1218" w:type="dxa"/>
          </w:tcPr>
          <w:p w14:paraId="1A4A44B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71,96</w:t>
            </w:r>
          </w:p>
        </w:tc>
        <w:tc>
          <w:tcPr>
            <w:tcW w:w="1218" w:type="dxa"/>
          </w:tcPr>
          <w:p w14:paraId="2E3A995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0,338</w:t>
            </w:r>
          </w:p>
        </w:tc>
        <w:tc>
          <w:tcPr>
            <w:tcW w:w="1218" w:type="dxa"/>
          </w:tcPr>
          <w:p w14:paraId="191A54D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0,612</w:t>
            </w:r>
          </w:p>
        </w:tc>
      </w:tr>
      <w:tr w14:paraId="6AE03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EBCC8D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3B710A2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7A9FB9F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5CAED26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104,83</w:t>
            </w:r>
          </w:p>
        </w:tc>
        <w:tc>
          <w:tcPr>
            <w:tcW w:w="1218" w:type="dxa"/>
          </w:tcPr>
          <w:p w14:paraId="39C9F1B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76,72</w:t>
            </w:r>
          </w:p>
        </w:tc>
        <w:tc>
          <w:tcPr>
            <w:tcW w:w="1218" w:type="dxa"/>
          </w:tcPr>
          <w:p w14:paraId="134AB37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0,246</w:t>
            </w:r>
          </w:p>
        </w:tc>
        <w:tc>
          <w:tcPr>
            <w:tcW w:w="1218" w:type="dxa"/>
          </w:tcPr>
          <w:p w14:paraId="33D4196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0,529</w:t>
            </w:r>
          </w:p>
        </w:tc>
      </w:tr>
      <w:tr w14:paraId="4DBD1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36A0460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3DAB46E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6ECB9C8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441B38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98,50</w:t>
            </w:r>
          </w:p>
        </w:tc>
        <w:tc>
          <w:tcPr>
            <w:tcW w:w="1218" w:type="dxa"/>
          </w:tcPr>
          <w:p w14:paraId="37900D1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70,43</w:t>
            </w:r>
          </w:p>
        </w:tc>
        <w:tc>
          <w:tcPr>
            <w:tcW w:w="1218" w:type="dxa"/>
          </w:tcPr>
          <w:p w14:paraId="2C53122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0,270</w:t>
            </w:r>
          </w:p>
        </w:tc>
        <w:tc>
          <w:tcPr>
            <w:tcW w:w="1218" w:type="dxa"/>
          </w:tcPr>
          <w:p w14:paraId="09EC6A7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0,553</w:t>
            </w:r>
          </w:p>
        </w:tc>
      </w:tr>
      <w:tr w14:paraId="2A020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6AA398A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Bogor</w:t>
            </w:r>
          </w:p>
        </w:tc>
        <w:tc>
          <w:tcPr>
            <w:tcW w:w="992" w:type="dxa"/>
          </w:tcPr>
          <w:p w14:paraId="2124355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051FB31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2C2704D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79,90</w:t>
            </w:r>
          </w:p>
        </w:tc>
        <w:tc>
          <w:tcPr>
            <w:tcW w:w="1218" w:type="dxa"/>
          </w:tcPr>
          <w:p w14:paraId="6FF1E43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61,32</w:t>
            </w:r>
          </w:p>
        </w:tc>
        <w:tc>
          <w:tcPr>
            <w:tcW w:w="1218" w:type="dxa"/>
          </w:tcPr>
          <w:p w14:paraId="2DCC83E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0,270</w:t>
            </w:r>
          </w:p>
        </w:tc>
        <w:tc>
          <w:tcPr>
            <w:tcW w:w="1218" w:type="dxa"/>
          </w:tcPr>
          <w:p w14:paraId="19ECBC5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0,644</w:t>
            </w:r>
          </w:p>
        </w:tc>
      </w:tr>
      <w:tr w14:paraId="69051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B095D7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2153765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19EFFF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271D998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67,07</w:t>
            </w:r>
          </w:p>
        </w:tc>
        <w:tc>
          <w:tcPr>
            <w:tcW w:w="1218" w:type="dxa"/>
          </w:tcPr>
          <w:p w14:paraId="35976F4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50,69</w:t>
            </w:r>
          </w:p>
        </w:tc>
        <w:tc>
          <w:tcPr>
            <w:tcW w:w="1218" w:type="dxa"/>
          </w:tcPr>
          <w:p w14:paraId="0D9539E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0,546</w:t>
            </w:r>
          </w:p>
        </w:tc>
        <w:tc>
          <w:tcPr>
            <w:tcW w:w="1218" w:type="dxa"/>
          </w:tcPr>
          <w:p w14:paraId="30DB52D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0,767</w:t>
            </w:r>
          </w:p>
        </w:tc>
      </w:tr>
      <w:tr w14:paraId="42271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46E0BA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0CC1D26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02B1468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65EBA11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76,40</w:t>
            </w:r>
          </w:p>
        </w:tc>
        <w:tc>
          <w:tcPr>
            <w:tcW w:w="1218" w:type="dxa"/>
          </w:tcPr>
          <w:p w14:paraId="1B8F55A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57,17</w:t>
            </w:r>
          </w:p>
        </w:tc>
        <w:tc>
          <w:tcPr>
            <w:tcW w:w="1218" w:type="dxa"/>
          </w:tcPr>
          <w:p w14:paraId="64D5F34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0,494</w:t>
            </w:r>
          </w:p>
        </w:tc>
        <w:tc>
          <w:tcPr>
            <w:tcW w:w="1218" w:type="dxa"/>
          </w:tcPr>
          <w:p w14:paraId="7EE2140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0,736</w:t>
            </w:r>
          </w:p>
        </w:tc>
      </w:tr>
      <w:tr w14:paraId="71053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19D99D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462414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713B861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39544B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93,88</w:t>
            </w:r>
          </w:p>
        </w:tc>
        <w:tc>
          <w:tcPr>
            <w:tcW w:w="1218" w:type="dxa"/>
          </w:tcPr>
          <w:p w14:paraId="6079878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64,27</w:t>
            </w:r>
          </w:p>
        </w:tc>
        <w:tc>
          <w:tcPr>
            <w:tcW w:w="1218" w:type="dxa"/>
          </w:tcPr>
          <w:p w14:paraId="3151339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0,329</w:t>
            </w:r>
          </w:p>
        </w:tc>
        <w:tc>
          <w:tcPr>
            <w:tcW w:w="1218" w:type="dxa"/>
          </w:tcPr>
          <w:p w14:paraId="1334F0C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0,584</w:t>
            </w:r>
          </w:p>
        </w:tc>
      </w:tr>
      <w:tr w14:paraId="00C60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057D05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73E0865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078E0D9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6FAB77C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96,23</w:t>
            </w:r>
          </w:p>
        </w:tc>
        <w:tc>
          <w:tcPr>
            <w:tcW w:w="1218" w:type="dxa"/>
          </w:tcPr>
          <w:p w14:paraId="201EC9B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74,40</w:t>
            </w:r>
          </w:p>
        </w:tc>
        <w:tc>
          <w:tcPr>
            <w:tcW w:w="1218" w:type="dxa"/>
          </w:tcPr>
          <w:p w14:paraId="582C27F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0,292</w:t>
            </w:r>
          </w:p>
        </w:tc>
        <w:tc>
          <w:tcPr>
            <w:tcW w:w="1218" w:type="dxa"/>
          </w:tcPr>
          <w:p w14:paraId="3107514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0,567</w:t>
            </w:r>
          </w:p>
        </w:tc>
      </w:tr>
      <w:tr w14:paraId="4C4D1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77BAFD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6F15DFF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353ECF2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459D770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107,27</w:t>
            </w:r>
          </w:p>
        </w:tc>
        <w:tc>
          <w:tcPr>
            <w:tcW w:w="1218" w:type="dxa"/>
          </w:tcPr>
          <w:p w14:paraId="44EB8D4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79,71</w:t>
            </w:r>
          </w:p>
        </w:tc>
        <w:tc>
          <w:tcPr>
            <w:tcW w:w="1218" w:type="dxa"/>
          </w:tcPr>
          <w:p w14:paraId="1B969DF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0,214</w:t>
            </w:r>
          </w:p>
        </w:tc>
        <w:tc>
          <w:tcPr>
            <w:tcW w:w="1218" w:type="dxa"/>
          </w:tcPr>
          <w:p w14:paraId="7C365AF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0,498</w:t>
            </w:r>
          </w:p>
        </w:tc>
      </w:tr>
      <w:tr w14:paraId="1C1C3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3AAC54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Bandung</w:t>
            </w:r>
          </w:p>
        </w:tc>
        <w:tc>
          <w:tcPr>
            <w:tcW w:w="992" w:type="dxa"/>
          </w:tcPr>
          <w:p w14:paraId="095F029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1CF2635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9DA0BA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94,93</w:t>
            </w:r>
          </w:p>
        </w:tc>
        <w:tc>
          <w:tcPr>
            <w:tcW w:w="1218" w:type="dxa"/>
          </w:tcPr>
          <w:p w14:paraId="5CFEA41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68,70</w:t>
            </w:r>
          </w:p>
        </w:tc>
        <w:tc>
          <w:tcPr>
            <w:tcW w:w="1218" w:type="dxa"/>
          </w:tcPr>
          <w:p w14:paraId="2FEAFC8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0,300</w:t>
            </w:r>
          </w:p>
        </w:tc>
        <w:tc>
          <w:tcPr>
            <w:tcW w:w="1218" w:type="dxa"/>
          </w:tcPr>
          <w:p w14:paraId="64E7650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0,573</w:t>
            </w:r>
          </w:p>
        </w:tc>
      </w:tr>
      <w:tr w14:paraId="70226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2649E1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691122D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5173113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46692E4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68,94</w:t>
            </w:r>
          </w:p>
        </w:tc>
        <w:tc>
          <w:tcPr>
            <w:tcW w:w="1218" w:type="dxa"/>
          </w:tcPr>
          <w:p w14:paraId="4C21EAF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50,61</w:t>
            </w:r>
          </w:p>
        </w:tc>
        <w:tc>
          <w:tcPr>
            <w:tcW w:w="1218" w:type="dxa"/>
          </w:tcPr>
          <w:p w14:paraId="4C40831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0,683</w:t>
            </w:r>
          </w:p>
        </w:tc>
        <w:tc>
          <w:tcPr>
            <w:tcW w:w="1218" w:type="dxa"/>
          </w:tcPr>
          <w:p w14:paraId="61F0DB8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0,835</w:t>
            </w:r>
          </w:p>
        </w:tc>
      </w:tr>
      <w:tr w14:paraId="37298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3E043E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7D9942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7B8D2CD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71FE024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69,91</w:t>
            </w:r>
          </w:p>
        </w:tc>
        <w:tc>
          <w:tcPr>
            <w:tcW w:w="1218" w:type="dxa"/>
          </w:tcPr>
          <w:p w14:paraId="38A962D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51,98</w:t>
            </w:r>
          </w:p>
        </w:tc>
        <w:tc>
          <w:tcPr>
            <w:tcW w:w="1218" w:type="dxa"/>
          </w:tcPr>
          <w:p w14:paraId="554182E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0,492</w:t>
            </w:r>
          </w:p>
        </w:tc>
        <w:tc>
          <w:tcPr>
            <w:tcW w:w="1218" w:type="dxa"/>
          </w:tcPr>
          <w:p w14:paraId="4D46FB7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0,733</w:t>
            </w:r>
          </w:p>
        </w:tc>
      </w:tr>
      <w:tr w14:paraId="568EF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FE4F83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1E13071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5B02A35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0F401E3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82,73</w:t>
            </w:r>
          </w:p>
        </w:tc>
        <w:tc>
          <w:tcPr>
            <w:tcW w:w="1218" w:type="dxa"/>
          </w:tcPr>
          <w:p w14:paraId="29D4CC6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62,87</w:t>
            </w:r>
          </w:p>
        </w:tc>
        <w:tc>
          <w:tcPr>
            <w:tcW w:w="1218" w:type="dxa"/>
          </w:tcPr>
          <w:p w14:paraId="63B22E6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0,394</w:t>
            </w:r>
          </w:p>
        </w:tc>
        <w:tc>
          <w:tcPr>
            <w:tcW w:w="1218" w:type="dxa"/>
          </w:tcPr>
          <w:p w14:paraId="45AB455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0,700</w:t>
            </w:r>
          </w:p>
        </w:tc>
      </w:tr>
      <w:tr w14:paraId="4D49F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6F5717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510EB57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3C54DB9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E791AA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97,58</w:t>
            </w:r>
          </w:p>
        </w:tc>
        <w:tc>
          <w:tcPr>
            <w:tcW w:w="1218" w:type="dxa"/>
          </w:tcPr>
          <w:p w14:paraId="26FF661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68,98</w:t>
            </w:r>
          </w:p>
        </w:tc>
        <w:tc>
          <w:tcPr>
            <w:tcW w:w="1218" w:type="dxa"/>
          </w:tcPr>
          <w:p w14:paraId="2EFD0E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0,278</w:t>
            </w:r>
          </w:p>
        </w:tc>
        <w:tc>
          <w:tcPr>
            <w:tcW w:w="1218" w:type="dxa"/>
          </w:tcPr>
          <w:p w14:paraId="3D3249E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0,562</w:t>
            </w:r>
          </w:p>
        </w:tc>
      </w:tr>
      <w:tr w14:paraId="4F3C5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9CBB7A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07513D8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52B28FA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273CEBA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99,64</w:t>
            </w:r>
          </w:p>
        </w:tc>
        <w:tc>
          <w:tcPr>
            <w:tcW w:w="1218" w:type="dxa"/>
          </w:tcPr>
          <w:p w14:paraId="672A440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78,57</w:t>
            </w:r>
          </w:p>
        </w:tc>
        <w:tc>
          <w:tcPr>
            <w:tcW w:w="1218" w:type="dxa"/>
          </w:tcPr>
          <w:p w14:paraId="5B80CE3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0,241</w:t>
            </w:r>
          </w:p>
        </w:tc>
        <w:tc>
          <w:tcPr>
            <w:tcW w:w="1218" w:type="dxa"/>
          </w:tcPr>
          <w:p w14:paraId="777499C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0,573</w:t>
            </w:r>
          </w:p>
        </w:tc>
      </w:tr>
      <w:tr w14:paraId="77928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95B9BE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Bekasi</w:t>
            </w:r>
          </w:p>
        </w:tc>
        <w:tc>
          <w:tcPr>
            <w:tcW w:w="992" w:type="dxa"/>
          </w:tcPr>
          <w:p w14:paraId="2A78D1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781A1EE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138</w:t>
            </w:r>
          </w:p>
        </w:tc>
        <w:tc>
          <w:tcPr>
            <w:tcW w:w="1010" w:type="dxa"/>
          </w:tcPr>
          <w:p w14:paraId="1D1F76E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107,27</w:t>
            </w:r>
          </w:p>
        </w:tc>
        <w:tc>
          <w:tcPr>
            <w:tcW w:w="1218" w:type="dxa"/>
          </w:tcPr>
          <w:p w14:paraId="5B215BC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78,89</w:t>
            </w:r>
          </w:p>
        </w:tc>
        <w:tc>
          <w:tcPr>
            <w:tcW w:w="1218" w:type="dxa"/>
          </w:tcPr>
          <w:p w14:paraId="29C9BAC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0,239</w:t>
            </w:r>
          </w:p>
        </w:tc>
        <w:tc>
          <w:tcPr>
            <w:tcW w:w="1218" w:type="dxa"/>
          </w:tcPr>
          <w:p w14:paraId="3B10337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0,521</w:t>
            </w:r>
          </w:p>
        </w:tc>
      </w:tr>
      <w:tr w14:paraId="7C83A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B8FAD9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6203BA3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440AF46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734F880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64,97</w:t>
            </w:r>
          </w:p>
        </w:tc>
        <w:tc>
          <w:tcPr>
            <w:tcW w:w="1218" w:type="dxa"/>
          </w:tcPr>
          <w:p w14:paraId="4D23837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52,19</w:t>
            </w:r>
          </w:p>
        </w:tc>
        <w:tc>
          <w:tcPr>
            <w:tcW w:w="1218" w:type="dxa"/>
          </w:tcPr>
          <w:p w14:paraId="667721C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0,408</w:t>
            </w:r>
          </w:p>
        </w:tc>
        <w:tc>
          <w:tcPr>
            <w:tcW w:w="1218" w:type="dxa"/>
          </w:tcPr>
          <w:p w14:paraId="0358B0C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0,762</w:t>
            </w:r>
          </w:p>
        </w:tc>
      </w:tr>
      <w:tr w14:paraId="76ADD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61CE07D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380E92C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22228CF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2286354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70,03</w:t>
            </w:r>
          </w:p>
        </w:tc>
        <w:tc>
          <w:tcPr>
            <w:tcW w:w="1218" w:type="dxa"/>
          </w:tcPr>
          <w:p w14:paraId="11B58C1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52,27</w:t>
            </w:r>
          </w:p>
        </w:tc>
        <w:tc>
          <w:tcPr>
            <w:tcW w:w="1218" w:type="dxa"/>
          </w:tcPr>
          <w:p w14:paraId="7CCC8F9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0,651</w:t>
            </w:r>
          </w:p>
        </w:tc>
        <w:tc>
          <w:tcPr>
            <w:tcW w:w="1218" w:type="dxa"/>
          </w:tcPr>
          <w:p w14:paraId="4EADA55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0,811</w:t>
            </w:r>
          </w:p>
        </w:tc>
      </w:tr>
      <w:tr w14:paraId="69E65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62D2C2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0E030AA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25BCEE5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5C0FECC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75,82</w:t>
            </w:r>
          </w:p>
        </w:tc>
        <w:tc>
          <w:tcPr>
            <w:tcW w:w="1218" w:type="dxa"/>
          </w:tcPr>
          <w:p w14:paraId="69FC379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56,76</w:t>
            </w:r>
          </w:p>
        </w:tc>
        <w:tc>
          <w:tcPr>
            <w:tcW w:w="1218" w:type="dxa"/>
          </w:tcPr>
          <w:p w14:paraId="0BEE2B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0,505</w:t>
            </w:r>
          </w:p>
        </w:tc>
        <w:tc>
          <w:tcPr>
            <w:tcW w:w="1218" w:type="dxa"/>
          </w:tcPr>
          <w:p w14:paraId="4B17C4D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0,722</w:t>
            </w:r>
          </w:p>
        </w:tc>
      </w:tr>
      <w:tr w14:paraId="2F3E1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473853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1ECA046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47183F4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083F9E4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77,48</w:t>
            </w:r>
          </w:p>
        </w:tc>
        <w:tc>
          <w:tcPr>
            <w:tcW w:w="1218" w:type="dxa"/>
          </w:tcPr>
          <w:p w14:paraId="0BA7880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58,69</w:t>
            </w:r>
          </w:p>
        </w:tc>
        <w:tc>
          <w:tcPr>
            <w:tcW w:w="1218" w:type="dxa"/>
          </w:tcPr>
          <w:p w14:paraId="35190DB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0,466</w:t>
            </w:r>
          </w:p>
        </w:tc>
        <w:tc>
          <w:tcPr>
            <w:tcW w:w="1218" w:type="dxa"/>
          </w:tcPr>
          <w:p w14:paraId="1D2F00C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0,714</w:t>
            </w:r>
          </w:p>
        </w:tc>
      </w:tr>
      <w:tr w14:paraId="21937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BD66FA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6C87076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1333E63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49149AA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99,94</w:t>
            </w:r>
          </w:p>
        </w:tc>
        <w:tc>
          <w:tcPr>
            <w:tcW w:w="1218" w:type="dxa"/>
          </w:tcPr>
          <w:p w14:paraId="367F145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71,74</w:t>
            </w:r>
          </w:p>
        </w:tc>
        <w:tc>
          <w:tcPr>
            <w:tcW w:w="1218" w:type="dxa"/>
          </w:tcPr>
          <w:p w14:paraId="443B8B7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0,244</w:t>
            </w:r>
          </w:p>
        </w:tc>
        <w:tc>
          <w:tcPr>
            <w:tcW w:w="1218" w:type="dxa"/>
          </w:tcPr>
          <w:p w14:paraId="3B615F5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0,537</w:t>
            </w:r>
          </w:p>
        </w:tc>
      </w:tr>
      <w:tr w14:paraId="0CD6C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327CCAA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Cirebon</w:t>
            </w:r>
          </w:p>
        </w:tc>
        <w:tc>
          <w:tcPr>
            <w:tcW w:w="992" w:type="dxa"/>
          </w:tcPr>
          <w:p w14:paraId="7877D28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27D40E5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0D36C0C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95,24</w:t>
            </w:r>
          </w:p>
        </w:tc>
        <w:tc>
          <w:tcPr>
            <w:tcW w:w="1218" w:type="dxa"/>
          </w:tcPr>
          <w:p w14:paraId="088F3DD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72,50</w:t>
            </w:r>
          </w:p>
        </w:tc>
        <w:tc>
          <w:tcPr>
            <w:tcW w:w="1218" w:type="dxa"/>
          </w:tcPr>
          <w:p w14:paraId="7A44DC0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0,319</w:t>
            </w:r>
          </w:p>
        </w:tc>
        <w:tc>
          <w:tcPr>
            <w:tcW w:w="1218" w:type="dxa"/>
          </w:tcPr>
          <w:p w14:paraId="3EBA518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0,600</w:t>
            </w:r>
          </w:p>
        </w:tc>
      </w:tr>
      <w:tr w14:paraId="7D80B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7EF064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17D08F9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372227E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46135F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69,09</w:t>
            </w:r>
          </w:p>
        </w:tc>
        <w:tc>
          <w:tcPr>
            <w:tcW w:w="1218" w:type="dxa"/>
          </w:tcPr>
          <w:p w14:paraId="105FF9E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53,62</w:t>
            </w:r>
          </w:p>
        </w:tc>
        <w:tc>
          <w:tcPr>
            <w:tcW w:w="1218" w:type="dxa"/>
          </w:tcPr>
          <w:p w14:paraId="4D03F7F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0,436</w:t>
            </w:r>
          </w:p>
        </w:tc>
        <w:tc>
          <w:tcPr>
            <w:tcW w:w="1218" w:type="dxa"/>
          </w:tcPr>
          <w:p w14:paraId="2C4C12F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0,723</w:t>
            </w:r>
          </w:p>
        </w:tc>
      </w:tr>
      <w:tr w14:paraId="04ECA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D1E9E7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2AB1AD1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7D4958B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01DD41C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69,51</w:t>
            </w:r>
          </w:p>
        </w:tc>
        <w:tc>
          <w:tcPr>
            <w:tcW w:w="1218" w:type="dxa"/>
          </w:tcPr>
          <w:p w14:paraId="2030DB9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52,12</w:t>
            </w:r>
          </w:p>
        </w:tc>
        <w:tc>
          <w:tcPr>
            <w:tcW w:w="1218" w:type="dxa"/>
          </w:tcPr>
          <w:p w14:paraId="0D64EC1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0,510</w:t>
            </w:r>
          </w:p>
        </w:tc>
        <w:tc>
          <w:tcPr>
            <w:tcW w:w="1218" w:type="dxa"/>
          </w:tcPr>
          <w:p w14:paraId="73C26D6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0,726</w:t>
            </w:r>
          </w:p>
        </w:tc>
      </w:tr>
      <w:tr w14:paraId="18FC6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620B87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3052966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6B601AE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60F5AA1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85,86</w:t>
            </w:r>
          </w:p>
        </w:tc>
        <w:tc>
          <w:tcPr>
            <w:tcW w:w="1218" w:type="dxa"/>
          </w:tcPr>
          <w:p w14:paraId="4B8B5D5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64,16</w:t>
            </w:r>
          </w:p>
        </w:tc>
        <w:tc>
          <w:tcPr>
            <w:tcW w:w="1218" w:type="dxa"/>
          </w:tcPr>
          <w:p w14:paraId="3C87DD4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0,432</w:t>
            </w:r>
          </w:p>
        </w:tc>
        <w:tc>
          <w:tcPr>
            <w:tcW w:w="1218" w:type="dxa"/>
          </w:tcPr>
          <w:p w14:paraId="434068A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0,661</w:t>
            </w:r>
          </w:p>
        </w:tc>
      </w:tr>
      <w:tr w14:paraId="6879E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649692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6954CE7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7582AE3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163144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66,89</w:t>
            </w:r>
          </w:p>
        </w:tc>
        <w:tc>
          <w:tcPr>
            <w:tcW w:w="1218" w:type="dxa"/>
          </w:tcPr>
          <w:p w14:paraId="410ECC6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51,12</w:t>
            </w:r>
          </w:p>
        </w:tc>
        <w:tc>
          <w:tcPr>
            <w:tcW w:w="1218" w:type="dxa"/>
          </w:tcPr>
          <w:p w14:paraId="6FC3691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0,528</w:t>
            </w:r>
          </w:p>
        </w:tc>
        <w:tc>
          <w:tcPr>
            <w:tcW w:w="1218" w:type="dxa"/>
          </w:tcPr>
          <w:p w14:paraId="36A4B9D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0,740</w:t>
            </w:r>
          </w:p>
        </w:tc>
      </w:tr>
      <w:tr w14:paraId="5F273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76D6B7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2BC004C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0085072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0A6F9B5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76,75</w:t>
            </w:r>
          </w:p>
        </w:tc>
        <w:tc>
          <w:tcPr>
            <w:tcW w:w="1218" w:type="dxa"/>
          </w:tcPr>
          <w:p w14:paraId="76A61E7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57,25</w:t>
            </w:r>
          </w:p>
        </w:tc>
        <w:tc>
          <w:tcPr>
            <w:tcW w:w="1218" w:type="dxa"/>
          </w:tcPr>
          <w:p w14:paraId="5DEC58E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0,523</w:t>
            </w:r>
          </w:p>
        </w:tc>
        <w:tc>
          <w:tcPr>
            <w:tcW w:w="1218" w:type="dxa"/>
          </w:tcPr>
          <w:p w14:paraId="4F1B235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0,726</w:t>
            </w:r>
          </w:p>
        </w:tc>
      </w:tr>
      <w:tr w14:paraId="0C1A4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F119D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Pangandaran</w:t>
            </w:r>
          </w:p>
        </w:tc>
        <w:tc>
          <w:tcPr>
            <w:tcW w:w="992" w:type="dxa"/>
          </w:tcPr>
          <w:p w14:paraId="61DC6B9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60177DB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003E4F0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75,64</w:t>
            </w:r>
          </w:p>
        </w:tc>
        <w:tc>
          <w:tcPr>
            <w:tcW w:w="1218" w:type="dxa"/>
          </w:tcPr>
          <w:p w14:paraId="716AF4A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57,02</w:t>
            </w:r>
          </w:p>
        </w:tc>
        <w:tc>
          <w:tcPr>
            <w:tcW w:w="1218" w:type="dxa"/>
          </w:tcPr>
          <w:p w14:paraId="2F3838C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0,499</w:t>
            </w:r>
          </w:p>
        </w:tc>
        <w:tc>
          <w:tcPr>
            <w:tcW w:w="1218" w:type="dxa"/>
          </w:tcPr>
          <w:p w14:paraId="1AE6320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0,710</w:t>
            </w:r>
          </w:p>
        </w:tc>
      </w:tr>
      <w:tr w14:paraId="10D9E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6762102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381267B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352165C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5D4AEAD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99,72</w:t>
            </w:r>
          </w:p>
        </w:tc>
        <w:tc>
          <w:tcPr>
            <w:tcW w:w="1218" w:type="dxa"/>
          </w:tcPr>
          <w:p w14:paraId="1E1F5E7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71,89</w:t>
            </w:r>
          </w:p>
        </w:tc>
        <w:tc>
          <w:tcPr>
            <w:tcW w:w="1218" w:type="dxa"/>
          </w:tcPr>
          <w:p w14:paraId="3477F5D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0,262</w:t>
            </w:r>
          </w:p>
        </w:tc>
        <w:tc>
          <w:tcPr>
            <w:tcW w:w="1218" w:type="dxa"/>
          </w:tcPr>
          <w:p w14:paraId="791E0CB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0,540</w:t>
            </w:r>
          </w:p>
        </w:tc>
      </w:tr>
      <w:tr w14:paraId="02800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12155D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58B8E46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481E789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54041AE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79,78</w:t>
            </w:r>
          </w:p>
        </w:tc>
        <w:tc>
          <w:tcPr>
            <w:tcW w:w="1218" w:type="dxa"/>
          </w:tcPr>
          <w:p w14:paraId="3C89140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60,17</w:t>
            </w:r>
          </w:p>
        </w:tc>
        <w:tc>
          <w:tcPr>
            <w:tcW w:w="1218" w:type="dxa"/>
          </w:tcPr>
          <w:p w14:paraId="71D1C03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0,205</w:t>
            </w:r>
          </w:p>
        </w:tc>
        <w:tc>
          <w:tcPr>
            <w:tcW w:w="1218" w:type="dxa"/>
          </w:tcPr>
          <w:p w14:paraId="16C79A8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0,628</w:t>
            </w:r>
          </w:p>
        </w:tc>
      </w:tr>
      <w:tr w14:paraId="3C31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5C5901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0734A6B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09ED3A8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6CEA24A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94,70</w:t>
            </w:r>
          </w:p>
        </w:tc>
        <w:tc>
          <w:tcPr>
            <w:tcW w:w="1218" w:type="dxa"/>
          </w:tcPr>
          <w:p w14:paraId="6D8C2F8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68,67</w:t>
            </w:r>
          </w:p>
        </w:tc>
        <w:tc>
          <w:tcPr>
            <w:tcW w:w="1218" w:type="dxa"/>
          </w:tcPr>
          <w:p w14:paraId="3607890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0,292</w:t>
            </w:r>
          </w:p>
        </w:tc>
        <w:tc>
          <w:tcPr>
            <w:tcW w:w="1218" w:type="dxa"/>
          </w:tcPr>
          <w:p w14:paraId="5A20ED0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0,581</w:t>
            </w:r>
          </w:p>
        </w:tc>
      </w:tr>
      <w:tr w14:paraId="02A9E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912CF0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419D962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55959EF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67FF88C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93,74</w:t>
            </w:r>
          </w:p>
        </w:tc>
        <w:tc>
          <w:tcPr>
            <w:tcW w:w="1218" w:type="dxa"/>
          </w:tcPr>
          <w:p w14:paraId="512EEC1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69,73</w:t>
            </w:r>
          </w:p>
        </w:tc>
        <w:tc>
          <w:tcPr>
            <w:tcW w:w="1218" w:type="dxa"/>
          </w:tcPr>
          <w:p w14:paraId="1025331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0,282</w:t>
            </w:r>
          </w:p>
        </w:tc>
        <w:tc>
          <w:tcPr>
            <w:tcW w:w="1218" w:type="dxa"/>
          </w:tcPr>
          <w:p w14:paraId="7E2593F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0,574</w:t>
            </w:r>
          </w:p>
        </w:tc>
      </w:tr>
      <w:tr w14:paraId="06BD9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A9C2D9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648CC02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06B5B7E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045BB5F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77,88</w:t>
            </w:r>
          </w:p>
        </w:tc>
        <w:tc>
          <w:tcPr>
            <w:tcW w:w="1218" w:type="dxa"/>
          </w:tcPr>
          <w:p w14:paraId="4D6070F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60,30</w:t>
            </w:r>
          </w:p>
        </w:tc>
        <w:tc>
          <w:tcPr>
            <w:tcW w:w="1218" w:type="dxa"/>
          </w:tcPr>
          <w:p w14:paraId="07D9877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0,320</w:t>
            </w:r>
          </w:p>
        </w:tc>
        <w:tc>
          <w:tcPr>
            <w:tcW w:w="1218" w:type="dxa"/>
          </w:tcPr>
          <w:p w14:paraId="3F2EF01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0,673</w:t>
            </w:r>
          </w:p>
        </w:tc>
      </w:tr>
      <w:tr w14:paraId="52BDA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32A22A2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Cianjur</w:t>
            </w:r>
          </w:p>
        </w:tc>
        <w:tc>
          <w:tcPr>
            <w:tcW w:w="992" w:type="dxa"/>
          </w:tcPr>
          <w:p w14:paraId="1238D02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2896067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1E81DF3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89,46</w:t>
            </w:r>
          </w:p>
        </w:tc>
        <w:tc>
          <w:tcPr>
            <w:tcW w:w="1218" w:type="dxa"/>
          </w:tcPr>
          <w:p w14:paraId="775D035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64,21</w:t>
            </w:r>
          </w:p>
        </w:tc>
        <w:tc>
          <w:tcPr>
            <w:tcW w:w="1218" w:type="dxa"/>
          </w:tcPr>
          <w:p w14:paraId="4657047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0,343</w:t>
            </w:r>
          </w:p>
        </w:tc>
        <w:tc>
          <w:tcPr>
            <w:tcW w:w="1218" w:type="dxa"/>
          </w:tcPr>
          <w:p w14:paraId="13522E0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0,612</w:t>
            </w:r>
          </w:p>
        </w:tc>
      </w:tr>
      <w:tr w14:paraId="307FB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000C98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494083E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4B112DC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6D16049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72,63</w:t>
            </w:r>
          </w:p>
        </w:tc>
        <w:tc>
          <w:tcPr>
            <w:tcW w:w="1218" w:type="dxa"/>
          </w:tcPr>
          <w:p w14:paraId="00BB9BE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56,37</w:t>
            </w:r>
          </w:p>
        </w:tc>
        <w:tc>
          <w:tcPr>
            <w:tcW w:w="1218" w:type="dxa"/>
          </w:tcPr>
          <w:p w14:paraId="3859C96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0,490</w:t>
            </w:r>
          </w:p>
        </w:tc>
        <w:tc>
          <w:tcPr>
            <w:tcW w:w="1218" w:type="dxa"/>
          </w:tcPr>
          <w:p w14:paraId="679093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0,737</w:t>
            </w:r>
          </w:p>
        </w:tc>
      </w:tr>
      <w:tr w14:paraId="16D07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FD7F58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0AF4082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4EE88EA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4AB5DDD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78,58</w:t>
            </w:r>
          </w:p>
        </w:tc>
        <w:tc>
          <w:tcPr>
            <w:tcW w:w="1218" w:type="dxa"/>
          </w:tcPr>
          <w:p w14:paraId="3E0C188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62,43</w:t>
            </w:r>
          </w:p>
        </w:tc>
        <w:tc>
          <w:tcPr>
            <w:tcW w:w="1218" w:type="dxa"/>
          </w:tcPr>
          <w:p w14:paraId="7116FA2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0,522</w:t>
            </w:r>
          </w:p>
        </w:tc>
        <w:tc>
          <w:tcPr>
            <w:tcW w:w="1218" w:type="dxa"/>
          </w:tcPr>
          <w:p w14:paraId="198823C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0,753</w:t>
            </w:r>
          </w:p>
        </w:tc>
      </w:tr>
      <w:tr w14:paraId="6EBCB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79B6B3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006CB9D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6621D13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A64AEC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65,69</w:t>
            </w:r>
          </w:p>
        </w:tc>
        <w:tc>
          <w:tcPr>
            <w:tcW w:w="1218" w:type="dxa"/>
          </w:tcPr>
          <w:p w14:paraId="4391241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52,80</w:t>
            </w:r>
          </w:p>
        </w:tc>
        <w:tc>
          <w:tcPr>
            <w:tcW w:w="1218" w:type="dxa"/>
          </w:tcPr>
          <w:p w14:paraId="32234BF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0,529</w:t>
            </w:r>
          </w:p>
        </w:tc>
        <w:tc>
          <w:tcPr>
            <w:tcW w:w="1218" w:type="dxa"/>
          </w:tcPr>
          <w:p w14:paraId="0F2738D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0,762</w:t>
            </w:r>
          </w:p>
        </w:tc>
      </w:tr>
      <w:tr w14:paraId="49081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8541AA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2D907BD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1AEB15B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47AD9D1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70,87</w:t>
            </w:r>
          </w:p>
        </w:tc>
        <w:tc>
          <w:tcPr>
            <w:tcW w:w="1218" w:type="dxa"/>
          </w:tcPr>
          <w:p w14:paraId="6A708C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49,03</w:t>
            </w:r>
          </w:p>
        </w:tc>
        <w:tc>
          <w:tcPr>
            <w:tcW w:w="1218" w:type="dxa"/>
          </w:tcPr>
          <w:p w14:paraId="7AD3310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0,618</w:t>
            </w:r>
          </w:p>
        </w:tc>
        <w:tc>
          <w:tcPr>
            <w:tcW w:w="1218" w:type="dxa"/>
          </w:tcPr>
          <w:p w14:paraId="130BDC1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0,794</w:t>
            </w:r>
          </w:p>
        </w:tc>
      </w:tr>
      <w:tr w14:paraId="598A2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7261EA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6C7409B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3AA6CCF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2C12CF4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68,35</w:t>
            </w:r>
          </w:p>
        </w:tc>
        <w:tc>
          <w:tcPr>
            <w:tcW w:w="1218" w:type="dxa"/>
          </w:tcPr>
          <w:p w14:paraId="68A636D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50,36</w:t>
            </w:r>
          </w:p>
        </w:tc>
        <w:tc>
          <w:tcPr>
            <w:tcW w:w="1218" w:type="dxa"/>
          </w:tcPr>
          <w:p w14:paraId="4B93FAA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0,546</w:t>
            </w:r>
          </w:p>
        </w:tc>
        <w:tc>
          <w:tcPr>
            <w:tcW w:w="1218" w:type="dxa"/>
          </w:tcPr>
          <w:p w14:paraId="0704ADB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0,768</w:t>
            </w:r>
          </w:p>
        </w:tc>
      </w:tr>
      <w:tr w14:paraId="75D8D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3C49A5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Ciasem</w:t>
            </w:r>
          </w:p>
        </w:tc>
        <w:tc>
          <w:tcPr>
            <w:tcW w:w="992" w:type="dxa"/>
          </w:tcPr>
          <w:p w14:paraId="4861C00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69102D1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2C9E00A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96,89</w:t>
            </w:r>
          </w:p>
        </w:tc>
        <w:tc>
          <w:tcPr>
            <w:tcW w:w="1218" w:type="dxa"/>
          </w:tcPr>
          <w:p w14:paraId="448BDCD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67,30</w:t>
            </w:r>
          </w:p>
        </w:tc>
        <w:tc>
          <w:tcPr>
            <w:tcW w:w="1218" w:type="dxa"/>
          </w:tcPr>
          <w:p w14:paraId="44A3D33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0,256</w:t>
            </w:r>
          </w:p>
        </w:tc>
        <w:tc>
          <w:tcPr>
            <w:tcW w:w="1218" w:type="dxa"/>
          </w:tcPr>
          <w:p w14:paraId="5BEB884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0,556</w:t>
            </w:r>
          </w:p>
        </w:tc>
      </w:tr>
      <w:tr w14:paraId="21787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1A51ADC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4A83771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307C8D1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53E709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82,03</w:t>
            </w:r>
          </w:p>
        </w:tc>
        <w:tc>
          <w:tcPr>
            <w:tcW w:w="1218" w:type="dxa"/>
          </w:tcPr>
          <w:p w14:paraId="37734A7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57,76</w:t>
            </w:r>
          </w:p>
        </w:tc>
        <w:tc>
          <w:tcPr>
            <w:tcW w:w="1218" w:type="dxa"/>
          </w:tcPr>
          <w:p w14:paraId="5CFDAF9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0,470</w:t>
            </w:r>
          </w:p>
        </w:tc>
        <w:tc>
          <w:tcPr>
            <w:tcW w:w="1218" w:type="dxa"/>
          </w:tcPr>
          <w:p w14:paraId="0B4642A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0,697</w:t>
            </w:r>
          </w:p>
        </w:tc>
      </w:tr>
      <w:tr w14:paraId="4DA06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636285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06B60F7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117AE4E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2AC21A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58,51</w:t>
            </w:r>
          </w:p>
        </w:tc>
        <w:tc>
          <w:tcPr>
            <w:tcW w:w="1218" w:type="dxa"/>
          </w:tcPr>
          <w:p w14:paraId="1093ABD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45,69</w:t>
            </w:r>
          </w:p>
        </w:tc>
        <w:tc>
          <w:tcPr>
            <w:tcW w:w="1218" w:type="dxa"/>
          </w:tcPr>
          <w:p w14:paraId="0C33CBA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0,611</w:t>
            </w:r>
          </w:p>
        </w:tc>
        <w:tc>
          <w:tcPr>
            <w:tcW w:w="1218" w:type="dxa"/>
          </w:tcPr>
          <w:p w14:paraId="3A18346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0,798</w:t>
            </w:r>
          </w:p>
        </w:tc>
      </w:tr>
      <w:tr w14:paraId="6F030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1DDDAE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5C70376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5809A38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04D39F0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70,31</w:t>
            </w:r>
          </w:p>
        </w:tc>
        <w:tc>
          <w:tcPr>
            <w:tcW w:w="1218" w:type="dxa"/>
          </w:tcPr>
          <w:p w14:paraId="45899F3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49,56</w:t>
            </w:r>
          </w:p>
        </w:tc>
        <w:tc>
          <w:tcPr>
            <w:tcW w:w="1218" w:type="dxa"/>
          </w:tcPr>
          <w:p w14:paraId="4BAE1DF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0,608</w:t>
            </w:r>
          </w:p>
        </w:tc>
        <w:tc>
          <w:tcPr>
            <w:tcW w:w="1218" w:type="dxa"/>
          </w:tcPr>
          <w:p w14:paraId="71C0081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0,783</w:t>
            </w:r>
          </w:p>
        </w:tc>
      </w:tr>
      <w:tr w14:paraId="66B78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61B5477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02831CB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7AF1375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12E54B3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69,68</w:t>
            </w:r>
          </w:p>
        </w:tc>
        <w:tc>
          <w:tcPr>
            <w:tcW w:w="1218" w:type="dxa"/>
          </w:tcPr>
          <w:p w14:paraId="0184685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53,03</w:t>
            </w:r>
          </w:p>
        </w:tc>
        <w:tc>
          <w:tcPr>
            <w:tcW w:w="1218" w:type="dxa"/>
          </w:tcPr>
          <w:p w14:paraId="4FA26F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0,401</w:t>
            </w:r>
          </w:p>
        </w:tc>
        <w:tc>
          <w:tcPr>
            <w:tcW w:w="1218" w:type="dxa"/>
          </w:tcPr>
          <w:p w14:paraId="25AC86A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0,695</w:t>
            </w:r>
          </w:p>
        </w:tc>
      </w:tr>
      <w:tr w14:paraId="6A18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AB32B3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368CC73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51C2C58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821536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73,07</w:t>
            </w:r>
          </w:p>
        </w:tc>
        <w:tc>
          <w:tcPr>
            <w:tcW w:w="1218" w:type="dxa"/>
          </w:tcPr>
          <w:p w14:paraId="7189F54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54,09</w:t>
            </w:r>
          </w:p>
        </w:tc>
        <w:tc>
          <w:tcPr>
            <w:tcW w:w="1218" w:type="dxa"/>
          </w:tcPr>
          <w:p w14:paraId="5492A01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0,537</w:t>
            </w:r>
          </w:p>
        </w:tc>
        <w:tc>
          <w:tcPr>
            <w:tcW w:w="1218" w:type="dxa"/>
          </w:tcPr>
          <w:p w14:paraId="18149EB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0,734</w:t>
            </w:r>
          </w:p>
        </w:tc>
      </w:tr>
      <w:tr w14:paraId="6F03D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5A6F347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Cibeureum</w:t>
            </w:r>
          </w:p>
        </w:tc>
        <w:tc>
          <w:tcPr>
            <w:tcW w:w="992" w:type="dxa"/>
          </w:tcPr>
          <w:p w14:paraId="773B913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433FC83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00F0FE5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73,94</w:t>
            </w:r>
          </w:p>
        </w:tc>
        <w:tc>
          <w:tcPr>
            <w:tcW w:w="1218" w:type="dxa"/>
          </w:tcPr>
          <w:p w14:paraId="3859011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55,03</w:t>
            </w:r>
          </w:p>
        </w:tc>
        <w:tc>
          <w:tcPr>
            <w:tcW w:w="1218" w:type="dxa"/>
          </w:tcPr>
          <w:p w14:paraId="498C2B9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0,545</w:t>
            </w:r>
          </w:p>
        </w:tc>
        <w:tc>
          <w:tcPr>
            <w:tcW w:w="1218" w:type="dxa"/>
          </w:tcPr>
          <w:p w14:paraId="21705F4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0,740</w:t>
            </w:r>
          </w:p>
        </w:tc>
      </w:tr>
      <w:tr w14:paraId="1CC9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11303A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518053A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4316A8D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5757AC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93,43</w:t>
            </w:r>
          </w:p>
        </w:tc>
        <w:tc>
          <w:tcPr>
            <w:tcW w:w="1218" w:type="dxa"/>
          </w:tcPr>
          <w:p w14:paraId="5991C6C1">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68,72</w:t>
            </w:r>
          </w:p>
        </w:tc>
        <w:tc>
          <w:tcPr>
            <w:tcW w:w="1218" w:type="dxa"/>
          </w:tcPr>
          <w:p w14:paraId="4882BEF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0,511</w:t>
            </w:r>
          </w:p>
        </w:tc>
        <w:tc>
          <w:tcPr>
            <w:tcW w:w="1218" w:type="dxa"/>
          </w:tcPr>
          <w:p w14:paraId="5AE4F64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0,746</w:t>
            </w:r>
          </w:p>
        </w:tc>
      </w:tr>
      <w:tr w14:paraId="726BD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043F6D2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104C102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5114292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0D7B31C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86,92</w:t>
            </w:r>
          </w:p>
        </w:tc>
        <w:tc>
          <w:tcPr>
            <w:tcW w:w="1218" w:type="dxa"/>
          </w:tcPr>
          <w:p w14:paraId="4A31881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57,55</w:t>
            </w:r>
          </w:p>
        </w:tc>
        <w:tc>
          <w:tcPr>
            <w:tcW w:w="1218" w:type="dxa"/>
          </w:tcPr>
          <w:p w14:paraId="693FC52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0,396</w:t>
            </w:r>
          </w:p>
        </w:tc>
        <w:tc>
          <w:tcPr>
            <w:tcW w:w="1218" w:type="dxa"/>
          </w:tcPr>
          <w:p w14:paraId="4E7B7CB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0,635</w:t>
            </w:r>
          </w:p>
        </w:tc>
      </w:tr>
      <w:tr w14:paraId="1ADF0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D5D234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691E56D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4BF67B5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49E61DB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69,99</w:t>
            </w:r>
          </w:p>
        </w:tc>
        <w:tc>
          <w:tcPr>
            <w:tcW w:w="1218" w:type="dxa"/>
          </w:tcPr>
          <w:p w14:paraId="1C0E7A9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52,31</w:t>
            </w:r>
          </w:p>
        </w:tc>
        <w:tc>
          <w:tcPr>
            <w:tcW w:w="1218" w:type="dxa"/>
          </w:tcPr>
          <w:p w14:paraId="728140B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0,425</w:t>
            </w:r>
          </w:p>
        </w:tc>
        <w:tc>
          <w:tcPr>
            <w:tcW w:w="1218" w:type="dxa"/>
          </w:tcPr>
          <w:p w14:paraId="639D0BE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0,686</w:t>
            </w:r>
          </w:p>
        </w:tc>
      </w:tr>
      <w:tr w14:paraId="45F38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883D00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73D1588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413D990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732513C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77,30</w:t>
            </w:r>
          </w:p>
        </w:tc>
        <w:tc>
          <w:tcPr>
            <w:tcW w:w="1218" w:type="dxa"/>
          </w:tcPr>
          <w:p w14:paraId="7074E93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56,46</w:t>
            </w:r>
          </w:p>
        </w:tc>
        <w:tc>
          <w:tcPr>
            <w:tcW w:w="1218" w:type="dxa"/>
          </w:tcPr>
          <w:p w14:paraId="50241C6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0,534</w:t>
            </w:r>
          </w:p>
        </w:tc>
        <w:tc>
          <w:tcPr>
            <w:tcW w:w="1218" w:type="dxa"/>
          </w:tcPr>
          <w:p w14:paraId="1463710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0,731</w:t>
            </w:r>
          </w:p>
        </w:tc>
      </w:tr>
      <w:tr w14:paraId="6A028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A20285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2EB7BF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5A2E4F68">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3DA920B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74,00</w:t>
            </w:r>
          </w:p>
        </w:tc>
        <w:tc>
          <w:tcPr>
            <w:tcW w:w="1218" w:type="dxa"/>
          </w:tcPr>
          <w:p w14:paraId="1C5A22A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59,09</w:t>
            </w:r>
          </w:p>
        </w:tc>
        <w:tc>
          <w:tcPr>
            <w:tcW w:w="1218" w:type="dxa"/>
          </w:tcPr>
          <w:p w14:paraId="48F0C77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0,355</w:t>
            </w:r>
          </w:p>
        </w:tc>
        <w:tc>
          <w:tcPr>
            <w:tcW w:w="1218" w:type="dxa"/>
          </w:tcPr>
          <w:p w14:paraId="58204BA3">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0,717</w:t>
            </w:r>
          </w:p>
        </w:tc>
      </w:tr>
      <w:tr w14:paraId="022DA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D733D8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Ciberes</w:t>
            </w:r>
          </w:p>
        </w:tc>
        <w:tc>
          <w:tcPr>
            <w:tcW w:w="992" w:type="dxa"/>
          </w:tcPr>
          <w:p w14:paraId="490CD5E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H+6</w:t>
            </w:r>
          </w:p>
        </w:tc>
        <w:tc>
          <w:tcPr>
            <w:tcW w:w="709" w:type="dxa"/>
          </w:tcPr>
          <w:p w14:paraId="0C77326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137</w:t>
            </w:r>
          </w:p>
        </w:tc>
        <w:tc>
          <w:tcPr>
            <w:tcW w:w="1010" w:type="dxa"/>
          </w:tcPr>
          <w:p w14:paraId="53D4417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78,64</w:t>
            </w:r>
          </w:p>
        </w:tc>
        <w:tc>
          <w:tcPr>
            <w:tcW w:w="1218" w:type="dxa"/>
          </w:tcPr>
          <w:p w14:paraId="10E0AC6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59,59</w:t>
            </w:r>
          </w:p>
        </w:tc>
        <w:tc>
          <w:tcPr>
            <w:tcW w:w="1218" w:type="dxa"/>
          </w:tcPr>
          <w:p w14:paraId="1643B9E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0,449</w:t>
            </w:r>
          </w:p>
        </w:tc>
        <w:tc>
          <w:tcPr>
            <w:tcW w:w="1218" w:type="dxa"/>
          </w:tcPr>
          <w:p w14:paraId="3F3F806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0,679</w:t>
            </w:r>
          </w:p>
        </w:tc>
      </w:tr>
      <w:tr w14:paraId="74F84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2D478BE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Ciawi</w:t>
            </w:r>
          </w:p>
        </w:tc>
        <w:tc>
          <w:tcPr>
            <w:tcW w:w="992" w:type="dxa"/>
          </w:tcPr>
          <w:p w14:paraId="2CCFB35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H+1</w:t>
            </w:r>
          </w:p>
        </w:tc>
        <w:tc>
          <w:tcPr>
            <w:tcW w:w="709" w:type="dxa"/>
          </w:tcPr>
          <w:p w14:paraId="372073A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73011C4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61,55</w:t>
            </w:r>
          </w:p>
        </w:tc>
        <w:tc>
          <w:tcPr>
            <w:tcW w:w="1218" w:type="dxa"/>
          </w:tcPr>
          <w:p w14:paraId="0CA728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43,11</w:t>
            </w:r>
          </w:p>
        </w:tc>
        <w:tc>
          <w:tcPr>
            <w:tcW w:w="1218" w:type="dxa"/>
          </w:tcPr>
          <w:p w14:paraId="03BD8319">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0,506</w:t>
            </w:r>
          </w:p>
        </w:tc>
        <w:tc>
          <w:tcPr>
            <w:tcW w:w="1218" w:type="dxa"/>
          </w:tcPr>
          <w:p w14:paraId="185AF86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0,751</w:t>
            </w:r>
          </w:p>
        </w:tc>
      </w:tr>
      <w:tr w14:paraId="406C4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7311E83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Ciawi</w:t>
            </w:r>
          </w:p>
        </w:tc>
        <w:tc>
          <w:tcPr>
            <w:tcW w:w="992" w:type="dxa"/>
          </w:tcPr>
          <w:p w14:paraId="110564F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H+2</w:t>
            </w:r>
          </w:p>
        </w:tc>
        <w:tc>
          <w:tcPr>
            <w:tcW w:w="709" w:type="dxa"/>
          </w:tcPr>
          <w:p w14:paraId="16FEFE0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4F63D8B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97,19</w:t>
            </w:r>
          </w:p>
        </w:tc>
        <w:tc>
          <w:tcPr>
            <w:tcW w:w="1218" w:type="dxa"/>
          </w:tcPr>
          <w:p w14:paraId="447CADB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71,56</w:t>
            </w:r>
          </w:p>
        </w:tc>
        <w:tc>
          <w:tcPr>
            <w:tcW w:w="1218" w:type="dxa"/>
          </w:tcPr>
          <w:p w14:paraId="7E21B7F2">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0,399</w:t>
            </w:r>
          </w:p>
        </w:tc>
        <w:tc>
          <w:tcPr>
            <w:tcW w:w="1218" w:type="dxa"/>
          </w:tcPr>
          <w:p w14:paraId="6E9AB70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0,662</w:t>
            </w:r>
          </w:p>
        </w:tc>
      </w:tr>
      <w:tr w14:paraId="0EA3C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141DF52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Ciawi</w:t>
            </w:r>
          </w:p>
        </w:tc>
        <w:tc>
          <w:tcPr>
            <w:tcW w:w="992" w:type="dxa"/>
          </w:tcPr>
          <w:p w14:paraId="5C53DB0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H+3</w:t>
            </w:r>
          </w:p>
        </w:tc>
        <w:tc>
          <w:tcPr>
            <w:tcW w:w="709" w:type="dxa"/>
          </w:tcPr>
          <w:p w14:paraId="1807466F">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6A25D974">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85,77</w:t>
            </w:r>
          </w:p>
        </w:tc>
        <w:tc>
          <w:tcPr>
            <w:tcW w:w="1218" w:type="dxa"/>
          </w:tcPr>
          <w:p w14:paraId="49141BC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60,32</w:t>
            </w:r>
          </w:p>
        </w:tc>
        <w:tc>
          <w:tcPr>
            <w:tcW w:w="1218" w:type="dxa"/>
          </w:tcPr>
          <w:p w14:paraId="237A2C3C">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0,428</w:t>
            </w:r>
          </w:p>
        </w:tc>
        <w:tc>
          <w:tcPr>
            <w:tcW w:w="1218" w:type="dxa"/>
          </w:tcPr>
          <w:p w14:paraId="20FFC13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0,661</w:t>
            </w:r>
          </w:p>
        </w:tc>
      </w:tr>
      <w:tr w14:paraId="47026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3BE44DC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Ciawi</w:t>
            </w:r>
          </w:p>
        </w:tc>
        <w:tc>
          <w:tcPr>
            <w:tcW w:w="992" w:type="dxa"/>
          </w:tcPr>
          <w:p w14:paraId="4087A3E7">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H+4</w:t>
            </w:r>
          </w:p>
        </w:tc>
        <w:tc>
          <w:tcPr>
            <w:tcW w:w="709" w:type="dxa"/>
          </w:tcPr>
          <w:p w14:paraId="2EA7B70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73244BE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72,58</w:t>
            </w:r>
          </w:p>
        </w:tc>
        <w:tc>
          <w:tcPr>
            <w:tcW w:w="1218" w:type="dxa"/>
          </w:tcPr>
          <w:p w14:paraId="52817D2B">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54,68</w:t>
            </w:r>
          </w:p>
        </w:tc>
        <w:tc>
          <w:tcPr>
            <w:tcW w:w="1218" w:type="dxa"/>
          </w:tcPr>
          <w:p w14:paraId="4CABABC5">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0,458</w:t>
            </w:r>
          </w:p>
        </w:tc>
        <w:tc>
          <w:tcPr>
            <w:tcW w:w="1218" w:type="dxa"/>
          </w:tcPr>
          <w:p w14:paraId="70E9738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0,698</w:t>
            </w:r>
          </w:p>
        </w:tc>
      </w:tr>
      <w:tr w14:paraId="5337A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55" w:type="dxa"/>
          </w:tcPr>
          <w:p w14:paraId="41319A76">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Ciawi</w:t>
            </w:r>
          </w:p>
        </w:tc>
        <w:tc>
          <w:tcPr>
            <w:tcW w:w="992" w:type="dxa"/>
          </w:tcPr>
          <w:p w14:paraId="26FF661A">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H+5</w:t>
            </w:r>
          </w:p>
        </w:tc>
        <w:tc>
          <w:tcPr>
            <w:tcW w:w="709" w:type="dxa"/>
          </w:tcPr>
          <w:p w14:paraId="2EFCC6F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136</w:t>
            </w:r>
          </w:p>
        </w:tc>
        <w:tc>
          <w:tcPr>
            <w:tcW w:w="1010" w:type="dxa"/>
          </w:tcPr>
          <w:p w14:paraId="326AC60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73,61</w:t>
            </w:r>
          </w:p>
        </w:tc>
        <w:tc>
          <w:tcPr>
            <w:tcW w:w="1218" w:type="dxa"/>
          </w:tcPr>
          <w:p w14:paraId="453CE160">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54,04</w:t>
            </w:r>
          </w:p>
        </w:tc>
        <w:tc>
          <w:tcPr>
            <w:tcW w:w="1218" w:type="dxa"/>
          </w:tcPr>
          <w:p w14:paraId="4B9EF4FE">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0,541</w:t>
            </w:r>
          </w:p>
        </w:tc>
        <w:tc>
          <w:tcPr>
            <w:tcW w:w="1218" w:type="dxa"/>
          </w:tcPr>
          <w:p w14:paraId="2C299B4D">
            <w:pPr>
              <w:pStyle w:val="66"/>
              <w:jc w:val="center"/>
              <w:rPr>
                <w:rFonts w:ascii="Times New Roman" w:hAnsi="Times New Roman" w:cs="Times New Roman"/>
                <w:bCs/>
                <w:iCs/>
                <w:sz w:val="18"/>
                <w:szCs w:val="18"/>
                <w:lang w:val="en-US"/>
              </w:rPr>
            </w:pPr>
            <w:r>
              <w:rPr>
                <w:rFonts w:ascii="Times New Roman" w:hAnsi="Times New Roman" w:cs="Times New Roman"/>
                <w:bCs/>
                <w:iCs/>
                <w:sz w:val="18"/>
                <w:szCs w:val="18"/>
                <w:lang w:val="en-US"/>
              </w:rPr>
              <w:t>0,740</w:t>
            </w:r>
          </w:p>
        </w:tc>
      </w:tr>
      <w:bookmarkEnd w:id="166"/>
      <w:bookmarkEnd w:id="167"/>
    </w:tbl>
    <w:p w14:paraId="4D6CB74A">
      <w:pPr>
        <w:pStyle w:val="5"/>
        <w:rPr>
          <w:rFonts w:cs="Times New Roman"/>
          <w:szCs w:val="24"/>
        </w:rPr>
      </w:pPr>
      <w:bookmarkStart w:id="168" w:name="X9fff94cc1a410c119bc3e144410295829a7ce93"/>
      <w:bookmarkEnd w:id="168"/>
    </w:p>
    <w:sectPr>
      <w:pgSz w:w="11906" w:h="16838"/>
      <w:pgMar w:top="1701" w:right="1701" w:bottom="1701" w:left="2275"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onsolas">
    <w:panose1 w:val="020B0609020204030204"/>
    <w:charset w:val="00"/>
    <w:family w:val="modern"/>
    <w:pitch w:val="default"/>
    <w:sig w:usb0="E00006FF" w:usb1="0000FCFF" w:usb2="00000001" w:usb3="00000000" w:csb0="6000019F" w:csb1="DFD7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5194192"/>
    </w:sdtPr>
    <w:sdtContent>
      <w:p w14:paraId="48222F14">
        <w:pPr>
          <w:pStyle w:val="19"/>
          <w:jc w:val="center"/>
        </w:pPr>
        <w:r>
          <w:fldChar w:fldCharType="begin"/>
        </w:r>
        <w:r>
          <w:instrText xml:space="preserve"> PAGE   \* MERGEFORMAT </w:instrText>
        </w:r>
        <w:r>
          <w:fldChar w:fldCharType="separate"/>
        </w:r>
        <w:r>
          <w:t>2</w:t>
        </w:r>
        <w:r>
          <w:fldChar w:fldCharType="end"/>
        </w:r>
      </w:p>
    </w:sdtContent>
  </w:sdt>
  <w:p w14:paraId="6274E1EA">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88967">
    <w:pPr>
      <w:pStyle w:val="19"/>
      <w:jc w:val="center"/>
    </w:pPr>
  </w:p>
  <w:p w14:paraId="63AC05CA">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099273"/>
    </w:sdtPr>
    <w:sdtContent>
      <w:p w14:paraId="7BD617AD">
        <w:pPr>
          <w:pStyle w:val="19"/>
          <w:jc w:val="center"/>
        </w:pPr>
        <w:r>
          <w:fldChar w:fldCharType="begin"/>
        </w:r>
        <w:r>
          <w:instrText xml:space="preserve">PAGE   \* MERGEFORMAT</w:instrText>
        </w:r>
        <w:r>
          <w:fldChar w:fldCharType="separate"/>
        </w:r>
        <w:r>
          <w:t>2</w:t>
        </w:r>
        <w:r>
          <w:fldChar w:fldCharType="end"/>
        </w:r>
      </w:p>
    </w:sdtContent>
  </w:sdt>
  <w:p w14:paraId="5F573B3C">
    <w:pPr>
      <w:pStyle w:val="19"/>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D63E9">
    <w:pPr>
      <w:pStyle w:val="19"/>
      <w:jc w:val="center"/>
    </w:pPr>
  </w:p>
  <w:p w14:paraId="680EB0FE">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E9BF2">
    <w:pPr>
      <w:pStyle w:val="20"/>
      <w:jc w:val="right"/>
    </w:pPr>
  </w:p>
  <w:p w14:paraId="38A1548D">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D2BA">
    <w:pPr>
      <w:pStyle w:val="20"/>
      <w:jc w:val="right"/>
    </w:pPr>
  </w:p>
  <w:p w14:paraId="1414F1E1">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4557328"/>
    </w:sdtPr>
    <w:sdtContent>
      <w:p w14:paraId="69D2F4E6">
        <w:pPr>
          <w:pStyle w:val="20"/>
          <w:jc w:val="right"/>
        </w:pPr>
        <w:r>
          <w:fldChar w:fldCharType="begin"/>
        </w:r>
        <w:r>
          <w:instrText xml:space="preserve">PAGE   \* MERGEFORMAT</w:instrText>
        </w:r>
        <w:r>
          <w:fldChar w:fldCharType="separate"/>
        </w:r>
        <w:r>
          <w:t>2</w:t>
        </w:r>
        <w:r>
          <w:fldChar w:fldCharType="end"/>
        </w:r>
      </w:p>
    </w:sdtContent>
  </w:sdt>
  <w:p w14:paraId="5D0A0534">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BBB0C">
    <w:pPr>
      <w:pStyle w:val="20"/>
      <w:jc w:val="right"/>
    </w:pPr>
  </w:p>
  <w:p w14:paraId="1763ABFB">
    <w:pPr>
      <w:pStyle w:val="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1170797"/>
    </w:sdtPr>
    <w:sdtContent>
      <w:p w14:paraId="7B37FCC6">
        <w:pPr>
          <w:pStyle w:val="20"/>
          <w:jc w:val="right"/>
        </w:pPr>
        <w:r>
          <w:fldChar w:fldCharType="begin"/>
        </w:r>
        <w:r>
          <w:instrText xml:space="preserve">PAGE   \* MERGEFORMAT</w:instrText>
        </w:r>
        <w:r>
          <w:fldChar w:fldCharType="separate"/>
        </w:r>
        <w:r>
          <w:t>2</w:t>
        </w:r>
        <w:r>
          <w:fldChar w:fldCharType="end"/>
        </w:r>
      </w:p>
    </w:sdtContent>
  </w:sdt>
  <w:p w14:paraId="2DE9392F">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7CC8F"/>
    <w:multiLevelType w:val="multilevel"/>
    <w:tmpl w:val="80C7CC8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
    <w:nsid w:val="00531A23"/>
    <w:multiLevelType w:val="multilevel"/>
    <w:tmpl w:val="00531A23"/>
    <w:lvl w:ilvl="0" w:tentative="0">
      <w:start w:val="1"/>
      <w:numFmt w:val="decimal"/>
      <w:lvlText w:val="%1."/>
      <w:lvlJc w:val="left"/>
      <w:pPr>
        <w:ind w:left="720" w:hanging="360"/>
      </w:pPr>
      <w:rPr>
        <w:rFonts w:hint="default" w:ascii="Times New Roman" w:hAnsi="Times New Roman"/>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3174584"/>
    <w:multiLevelType w:val="multilevel"/>
    <w:tmpl w:val="0317458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
    <w:nsid w:val="03B569C0"/>
    <w:multiLevelType w:val="multilevel"/>
    <w:tmpl w:val="03B569C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A6047D8"/>
    <w:multiLevelType w:val="multilevel"/>
    <w:tmpl w:val="0A6047D8"/>
    <w:lvl w:ilvl="0" w:tentative="0">
      <w:start w:val="1"/>
      <w:numFmt w:val="decimal"/>
      <w:lvlText w:val="%1."/>
      <w:lvlJc w:val="left"/>
      <w:pPr>
        <w:ind w:left="720" w:hanging="360"/>
      </w:pPr>
      <w:rPr>
        <w:rFonts w:hint="default" w:ascii="Times New Roman" w:hAnsi="Times New Roman"/>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DDE36BA"/>
    <w:multiLevelType w:val="multilevel"/>
    <w:tmpl w:val="0DDE36BA"/>
    <w:lvl w:ilvl="0" w:tentative="0">
      <w:start w:val="1"/>
      <w:numFmt w:val="lowerLetter"/>
      <w:lvlText w:val="%1)"/>
      <w:lvlJc w:val="left"/>
      <w:pPr>
        <w:ind w:left="1080" w:hanging="360"/>
      </w:pPr>
      <w:rPr>
        <w:rFonts w:hint="default"/>
        <w:b w:val="0"/>
        <w:i w:val="0"/>
        <w:sz w:val="24"/>
      </w:rPr>
    </w:lvl>
    <w:lvl w:ilvl="1" w:tentative="0">
      <w:start w:val="1"/>
      <w:numFmt w:val="decimal"/>
      <w:lvlText w:val="%1.%2"/>
      <w:lvlJc w:val="left"/>
      <w:pPr>
        <w:ind w:left="108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440" w:hanging="72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1800" w:hanging="1080"/>
      </w:pPr>
      <w:rPr>
        <w:rFonts w:hint="default"/>
      </w:rPr>
    </w:lvl>
    <w:lvl w:ilvl="6" w:tentative="0">
      <w:start w:val="1"/>
      <w:numFmt w:val="decimal"/>
      <w:lvlText w:val="%1.%2.%3.%4.%5.%6.%7"/>
      <w:lvlJc w:val="left"/>
      <w:pPr>
        <w:ind w:left="2160" w:hanging="1440"/>
      </w:pPr>
      <w:rPr>
        <w:rFonts w:hint="default"/>
      </w:rPr>
    </w:lvl>
    <w:lvl w:ilvl="7" w:tentative="0">
      <w:start w:val="1"/>
      <w:numFmt w:val="decimal"/>
      <w:lvlText w:val="%1.%2.%3.%4.%5.%6.%7.%8"/>
      <w:lvlJc w:val="left"/>
      <w:pPr>
        <w:ind w:left="2160" w:hanging="1440"/>
      </w:pPr>
      <w:rPr>
        <w:rFonts w:hint="default"/>
      </w:rPr>
    </w:lvl>
    <w:lvl w:ilvl="8" w:tentative="0">
      <w:start w:val="1"/>
      <w:numFmt w:val="decimal"/>
      <w:lvlText w:val="%1.%2.%3.%4.%5.%6.%7.%8.%9"/>
      <w:lvlJc w:val="left"/>
      <w:pPr>
        <w:ind w:left="2520" w:hanging="1800"/>
      </w:pPr>
      <w:rPr>
        <w:rFonts w:hint="default"/>
      </w:rPr>
    </w:lvl>
  </w:abstractNum>
  <w:abstractNum w:abstractNumId="6">
    <w:nsid w:val="0E661483"/>
    <w:multiLevelType w:val="multilevel"/>
    <w:tmpl w:val="0E66148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27A1837"/>
    <w:multiLevelType w:val="multilevel"/>
    <w:tmpl w:val="127A1837"/>
    <w:lvl w:ilvl="0" w:tentative="0">
      <w:start w:val="1"/>
      <w:numFmt w:val="lowerRoman"/>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132947BB"/>
    <w:multiLevelType w:val="multilevel"/>
    <w:tmpl w:val="132947BB"/>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B944555"/>
    <w:multiLevelType w:val="multilevel"/>
    <w:tmpl w:val="1B944555"/>
    <w:lvl w:ilvl="0" w:tentative="0">
      <w:start w:val="1"/>
      <w:numFmt w:val="lowerRoman"/>
      <w:lvlText w:val="%1)"/>
      <w:lvlJc w:val="left"/>
      <w:pPr>
        <w:ind w:left="720" w:hanging="360"/>
      </w:pPr>
      <w:rPr>
        <w:rFonts w:hint="default"/>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C442327"/>
    <w:multiLevelType w:val="multilevel"/>
    <w:tmpl w:val="1C442327"/>
    <w:lvl w:ilvl="0" w:tentative="0">
      <w:start w:val="1"/>
      <w:numFmt w:val="lowerRoman"/>
      <w:lvlText w:val="%1)"/>
      <w:lvlJc w:val="left"/>
      <w:pPr>
        <w:ind w:left="1080" w:hanging="720"/>
      </w:pPr>
      <w:rPr>
        <w:rFonts w:hint="default"/>
        <w:i w:val="0"/>
      </w:rPr>
    </w:lvl>
    <w:lvl w:ilvl="1" w:tentative="0">
      <w:start w:val="1"/>
      <w:numFmt w:val="lowerRoman"/>
      <w:lvlText w:val="%2)"/>
      <w:lvlJc w:val="left"/>
      <w:pPr>
        <w:ind w:left="1800" w:hanging="72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CE945E1"/>
    <w:multiLevelType w:val="multilevel"/>
    <w:tmpl w:val="1CE945E1"/>
    <w:lvl w:ilvl="0" w:tentative="0">
      <w:start w:val="1"/>
      <w:numFmt w:val="decimal"/>
      <w:lvlText w:val="%1."/>
      <w:lvlJc w:val="left"/>
      <w:pPr>
        <w:ind w:left="360" w:hanging="360"/>
      </w:pPr>
      <w:rPr>
        <w:rFonts w:hint="default" w:ascii="Times New Roman" w:hAnsi="Times New Roman"/>
        <w:b w:val="0"/>
        <w:i w:val="0"/>
        <w:sz w:val="24"/>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2">
    <w:nsid w:val="230F20B0"/>
    <w:multiLevelType w:val="multilevel"/>
    <w:tmpl w:val="230F20B0"/>
    <w:lvl w:ilvl="0" w:tentative="0">
      <w:start w:val="1"/>
      <w:numFmt w:val="decimal"/>
      <w:lvlText w:val="%1."/>
      <w:lvlJc w:val="left"/>
      <w:pPr>
        <w:ind w:left="720" w:hanging="360"/>
      </w:pPr>
      <w:rPr>
        <w:rFonts w:hint="default" w:ascii="Times New Roman" w:hAnsi="Times New Roman"/>
        <w:b w:val="0"/>
        <w:i w:val="0"/>
        <w:sz w:val="24"/>
      </w:rPr>
    </w:lvl>
    <w:lvl w:ilvl="1" w:tentative="0">
      <w:start w:val="1"/>
      <w:numFmt w:val="decimal"/>
      <w:lvlText w:val="%1.%2"/>
      <w:lvlJc w:val="left"/>
      <w:pPr>
        <w:ind w:left="720" w:hanging="360"/>
      </w:pPr>
      <w:rPr>
        <w:rFonts w:hint="default"/>
      </w:rPr>
    </w:lvl>
    <w:lvl w:ilvl="2" w:tentative="0">
      <w:start w:val="1"/>
      <w:numFmt w:val="decimal"/>
      <w:lvlText w:val="%1.%2.%3"/>
      <w:lvlJc w:val="left"/>
      <w:pPr>
        <w:ind w:left="1080" w:hanging="720"/>
      </w:pPr>
      <w:rPr>
        <w:rFonts w:hint="default"/>
      </w:rPr>
    </w:lvl>
    <w:lvl w:ilvl="3" w:tentative="0">
      <w:start w:val="1"/>
      <w:numFmt w:val="decimal"/>
      <w:lvlText w:val="%1.%2.%3.%4"/>
      <w:lvlJc w:val="left"/>
      <w:pPr>
        <w:ind w:left="1080" w:hanging="720"/>
      </w:pPr>
      <w:rPr>
        <w:rFonts w:hint="default"/>
      </w:rPr>
    </w:lvl>
    <w:lvl w:ilvl="4" w:tentative="0">
      <w:start w:val="1"/>
      <w:numFmt w:val="decimal"/>
      <w:lvlText w:val="%1.%2.%3.%4.%5"/>
      <w:lvlJc w:val="left"/>
      <w:pPr>
        <w:ind w:left="1440" w:hanging="1080"/>
      </w:pPr>
      <w:rPr>
        <w:rFonts w:hint="default"/>
      </w:rPr>
    </w:lvl>
    <w:lvl w:ilvl="5" w:tentative="0">
      <w:start w:val="1"/>
      <w:numFmt w:val="decimal"/>
      <w:lvlText w:val="%1.%2.%3.%4.%5.%6"/>
      <w:lvlJc w:val="left"/>
      <w:pPr>
        <w:ind w:left="1440" w:hanging="1080"/>
      </w:pPr>
      <w:rPr>
        <w:rFonts w:hint="default"/>
      </w:rPr>
    </w:lvl>
    <w:lvl w:ilvl="6" w:tentative="0">
      <w:start w:val="1"/>
      <w:numFmt w:val="decimal"/>
      <w:lvlText w:val="%1.%2.%3.%4.%5.%6.%7"/>
      <w:lvlJc w:val="left"/>
      <w:pPr>
        <w:ind w:left="1800" w:hanging="1440"/>
      </w:pPr>
      <w:rPr>
        <w:rFonts w:hint="default"/>
      </w:rPr>
    </w:lvl>
    <w:lvl w:ilvl="7" w:tentative="0">
      <w:start w:val="1"/>
      <w:numFmt w:val="decimal"/>
      <w:lvlText w:val="%1.%2.%3.%4.%5.%6.%7.%8"/>
      <w:lvlJc w:val="left"/>
      <w:pPr>
        <w:ind w:left="1800" w:hanging="1440"/>
      </w:pPr>
      <w:rPr>
        <w:rFonts w:hint="default"/>
      </w:rPr>
    </w:lvl>
    <w:lvl w:ilvl="8" w:tentative="0">
      <w:start w:val="1"/>
      <w:numFmt w:val="decimal"/>
      <w:lvlText w:val="%1.%2.%3.%4.%5.%6.%7.%8.%9"/>
      <w:lvlJc w:val="left"/>
      <w:pPr>
        <w:ind w:left="2160" w:hanging="1800"/>
      </w:pPr>
      <w:rPr>
        <w:rFonts w:hint="default"/>
      </w:rPr>
    </w:lvl>
  </w:abstractNum>
  <w:abstractNum w:abstractNumId="13">
    <w:nsid w:val="2A81469A"/>
    <w:multiLevelType w:val="multilevel"/>
    <w:tmpl w:val="2A81469A"/>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C184547"/>
    <w:multiLevelType w:val="multilevel"/>
    <w:tmpl w:val="2C18454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CAD3729"/>
    <w:multiLevelType w:val="multilevel"/>
    <w:tmpl w:val="2CAD372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F0462E8"/>
    <w:multiLevelType w:val="multilevel"/>
    <w:tmpl w:val="2F0462E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0B1425E"/>
    <w:multiLevelType w:val="multilevel"/>
    <w:tmpl w:val="30B1425E"/>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18">
    <w:nsid w:val="32367936"/>
    <w:multiLevelType w:val="multilevel"/>
    <w:tmpl w:val="32367936"/>
    <w:lvl w:ilvl="0" w:tentative="0">
      <w:start w:val="1"/>
      <w:numFmt w:val="lowerRoman"/>
      <w:lvlText w:val="%1)"/>
      <w:lvlJc w:val="left"/>
      <w:pPr>
        <w:ind w:left="1080" w:hanging="720"/>
      </w:pPr>
      <w:rPr>
        <w:rFonts w:hint="default"/>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4100957"/>
    <w:multiLevelType w:val="multilevel"/>
    <w:tmpl w:val="34100957"/>
    <w:lvl w:ilvl="0" w:tentative="0">
      <w:start w:val="1"/>
      <w:numFmt w:val="lowerLetter"/>
      <w:pStyle w:val="6"/>
      <w:lvlText w:val="%1)"/>
      <w:lvlJc w:val="left"/>
      <w:pPr>
        <w:ind w:left="4613"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3AA62530"/>
    <w:multiLevelType w:val="multilevel"/>
    <w:tmpl w:val="3AA6253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3E3120D"/>
    <w:multiLevelType w:val="multilevel"/>
    <w:tmpl w:val="43E3120D"/>
    <w:lvl w:ilvl="0" w:tentative="0">
      <w:start w:val="1"/>
      <w:numFmt w:val="decimal"/>
      <w:lvlText w:val="%1."/>
      <w:lvlJc w:val="left"/>
      <w:pPr>
        <w:ind w:left="1080" w:hanging="360"/>
      </w:pPr>
      <w:rPr>
        <w:rFonts w:hint="default" w:ascii="Times New Roman" w:hAnsi="Times New Roman"/>
        <w:b w:val="0"/>
        <w:i w:val="0"/>
        <w:sz w:val="24"/>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2">
    <w:nsid w:val="44052AA1"/>
    <w:multiLevelType w:val="multilevel"/>
    <w:tmpl w:val="44052AA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3">
    <w:nsid w:val="4E486802"/>
    <w:multiLevelType w:val="multilevel"/>
    <w:tmpl w:val="4E486802"/>
    <w:lvl w:ilvl="0" w:tentative="0">
      <w:start w:val="1"/>
      <w:numFmt w:val="lowerRoman"/>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4">
    <w:nsid w:val="5141632A"/>
    <w:multiLevelType w:val="multilevel"/>
    <w:tmpl w:val="5141632A"/>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25">
    <w:nsid w:val="5B480FA9"/>
    <w:multiLevelType w:val="multilevel"/>
    <w:tmpl w:val="5B480FA9"/>
    <w:lvl w:ilvl="0" w:tentative="0">
      <w:start w:val="1"/>
      <w:numFmt w:val="decimal"/>
      <w:lvlText w:val="%1."/>
      <w:lvlJc w:val="left"/>
      <w:pPr>
        <w:ind w:left="360" w:hanging="360"/>
      </w:pPr>
      <w:rPr>
        <w:rFonts w:hint="default" w:ascii="Times New Roman" w:hAnsi="Times New Roman"/>
        <w:b w:val="0"/>
        <w:i w:val="0"/>
        <w:sz w:val="24"/>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6">
    <w:nsid w:val="5E8D080C"/>
    <w:multiLevelType w:val="multilevel"/>
    <w:tmpl w:val="5E8D080C"/>
    <w:lvl w:ilvl="0" w:tentative="0">
      <w:start w:val="1"/>
      <w:numFmt w:val="decimal"/>
      <w:lvlText w:val="%1."/>
      <w:lvlJc w:val="left"/>
      <w:pPr>
        <w:ind w:left="1080" w:hanging="360"/>
      </w:pPr>
      <w:rPr>
        <w:rFonts w:hint="default"/>
      </w:rPr>
    </w:lvl>
    <w:lvl w:ilvl="1" w:tentative="0">
      <w:start w:val="1"/>
      <w:numFmt w:val="decimal"/>
      <w:isLgl/>
      <w:lvlText w:val="%1.%2"/>
      <w:lvlJc w:val="left"/>
      <w:pPr>
        <w:ind w:left="108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440" w:hanging="720"/>
      </w:pPr>
      <w:rPr>
        <w:rFonts w:hint="default"/>
      </w:rPr>
    </w:lvl>
    <w:lvl w:ilvl="4" w:tentative="0">
      <w:start w:val="1"/>
      <w:numFmt w:val="decimal"/>
      <w:isLgl/>
      <w:lvlText w:val="%1.%2.%3.%4.%5"/>
      <w:lvlJc w:val="left"/>
      <w:pPr>
        <w:ind w:left="1800" w:hanging="1080"/>
      </w:pPr>
      <w:rPr>
        <w:rFonts w:hint="default"/>
      </w:rPr>
    </w:lvl>
    <w:lvl w:ilvl="5" w:tentative="0">
      <w:start w:val="1"/>
      <w:numFmt w:val="decimal"/>
      <w:isLgl/>
      <w:lvlText w:val="%1.%2.%3.%4.%5.%6"/>
      <w:lvlJc w:val="left"/>
      <w:pPr>
        <w:ind w:left="1800" w:hanging="1080"/>
      </w:pPr>
      <w:rPr>
        <w:rFonts w:hint="default"/>
      </w:rPr>
    </w:lvl>
    <w:lvl w:ilvl="6" w:tentative="0">
      <w:start w:val="1"/>
      <w:numFmt w:val="decimal"/>
      <w:isLgl/>
      <w:lvlText w:val="%1.%2.%3.%4.%5.%6.%7"/>
      <w:lvlJc w:val="left"/>
      <w:pPr>
        <w:ind w:left="2160" w:hanging="1440"/>
      </w:pPr>
      <w:rPr>
        <w:rFonts w:hint="default"/>
      </w:rPr>
    </w:lvl>
    <w:lvl w:ilvl="7" w:tentative="0">
      <w:start w:val="1"/>
      <w:numFmt w:val="decimal"/>
      <w:isLgl/>
      <w:lvlText w:val="%1.%2.%3.%4.%5.%6.%7.%8"/>
      <w:lvlJc w:val="left"/>
      <w:pPr>
        <w:ind w:left="2160" w:hanging="1440"/>
      </w:pPr>
      <w:rPr>
        <w:rFonts w:hint="default"/>
      </w:rPr>
    </w:lvl>
    <w:lvl w:ilvl="8" w:tentative="0">
      <w:start w:val="1"/>
      <w:numFmt w:val="decimal"/>
      <w:isLgl/>
      <w:lvlText w:val="%1.%2.%3.%4.%5.%6.%7.%8.%9"/>
      <w:lvlJc w:val="left"/>
      <w:pPr>
        <w:ind w:left="2520" w:hanging="1800"/>
      </w:pPr>
      <w:rPr>
        <w:rFonts w:hint="default"/>
      </w:rPr>
    </w:lvl>
  </w:abstractNum>
  <w:abstractNum w:abstractNumId="27">
    <w:nsid w:val="69A35170"/>
    <w:multiLevelType w:val="multilevel"/>
    <w:tmpl w:val="69A35170"/>
    <w:lvl w:ilvl="0" w:tentative="0">
      <w:start w:val="1"/>
      <w:numFmt w:val="decimal"/>
      <w:lvlText w:val="%1."/>
      <w:lvlJc w:val="left"/>
      <w:pPr>
        <w:ind w:left="720" w:hanging="360"/>
      </w:pPr>
      <w:rPr>
        <w:rFonts w:hint="default" w:ascii="Times New Roman" w:hAnsi="Times New Roman"/>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72253F56"/>
    <w:multiLevelType w:val="multilevel"/>
    <w:tmpl w:val="72253F56"/>
    <w:lvl w:ilvl="0" w:tentative="0">
      <w:start w:val="1"/>
      <w:numFmt w:val="decimal"/>
      <w:lvlText w:val="%1."/>
      <w:lvlJc w:val="left"/>
      <w:pPr>
        <w:ind w:left="720" w:hanging="360"/>
      </w:pPr>
      <w:rPr>
        <w:rFonts w:hint="default" w:ascii="Times New Roman" w:hAnsi="Times New Roman"/>
        <w:b w:val="0"/>
        <w:i w:val="0"/>
        <w:sz w:val="24"/>
      </w:rPr>
    </w:lvl>
    <w:lvl w:ilvl="1" w:tentative="0">
      <w:start w:val="0"/>
      <w:numFmt w:val="bullet"/>
      <w:lvlText w:val=""/>
      <w:lvlJc w:val="left"/>
      <w:pPr>
        <w:ind w:left="1440" w:hanging="360"/>
      </w:pPr>
      <w:rPr>
        <w:rFonts w:hint="default" w:ascii="Symbol" w:hAnsi="Symbol" w:eastAsia="Calibri" w:cs="Calibri"/>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7900371C"/>
    <w:multiLevelType w:val="multilevel"/>
    <w:tmpl w:val="7900371C"/>
    <w:lvl w:ilvl="0" w:tentative="0">
      <w:start w:val="1"/>
      <w:numFmt w:val="lowerRoman"/>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0">
    <w:nsid w:val="7B2C2BA5"/>
    <w:multiLevelType w:val="multilevel"/>
    <w:tmpl w:val="7B2C2BA5"/>
    <w:lvl w:ilvl="0" w:tentative="0">
      <w:start w:val="1"/>
      <w:numFmt w:val="lowerRoman"/>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1">
    <w:nsid w:val="7E170713"/>
    <w:multiLevelType w:val="multilevel"/>
    <w:tmpl w:val="7E17071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9"/>
  </w:num>
  <w:num w:numId="2">
    <w:abstractNumId w:val="17"/>
  </w:num>
  <w:num w:numId="3">
    <w:abstractNumId w:val="24"/>
  </w:num>
  <w:num w:numId="4">
    <w:abstractNumId w:val="25"/>
  </w:num>
  <w:num w:numId="5">
    <w:abstractNumId w:val="11"/>
  </w:num>
  <w:num w:numId="6">
    <w:abstractNumId w:val="5"/>
  </w:num>
  <w:num w:numId="7">
    <w:abstractNumId w:val="12"/>
  </w:num>
  <w:num w:numId="8">
    <w:abstractNumId w:val="28"/>
  </w:num>
  <w:num w:numId="9">
    <w:abstractNumId w:val="27"/>
  </w:num>
  <w:num w:numId="10">
    <w:abstractNumId w:val="13"/>
  </w:num>
  <w:num w:numId="11">
    <w:abstractNumId w:val="10"/>
  </w:num>
  <w:num w:numId="12">
    <w:abstractNumId w:val="26"/>
  </w:num>
  <w:num w:numId="13">
    <w:abstractNumId w:val="14"/>
  </w:num>
  <w:num w:numId="14">
    <w:abstractNumId w:val="20"/>
  </w:num>
  <w:num w:numId="15">
    <w:abstractNumId w:val="16"/>
  </w:num>
  <w:num w:numId="16">
    <w:abstractNumId w:val="3"/>
  </w:num>
  <w:num w:numId="17">
    <w:abstractNumId w:val="15"/>
  </w:num>
  <w:num w:numId="18">
    <w:abstractNumId w:val="31"/>
  </w:num>
  <w:num w:numId="19">
    <w:abstractNumId w:val="6"/>
  </w:num>
  <w:num w:numId="20">
    <w:abstractNumId w:val="18"/>
  </w:num>
  <w:num w:numId="21">
    <w:abstractNumId w:val="21"/>
  </w:num>
  <w:num w:numId="22">
    <w:abstractNumId w:val="7"/>
  </w:num>
  <w:num w:numId="23">
    <w:abstractNumId w:val="8"/>
  </w:num>
  <w:num w:numId="24">
    <w:abstractNumId w:val="9"/>
  </w:num>
  <w:num w:numId="25">
    <w:abstractNumId w:val="1"/>
  </w:num>
  <w:num w:numId="26">
    <w:abstractNumId w:val="4"/>
  </w:num>
  <w:num w:numId="27">
    <w:abstractNumId w:val="29"/>
  </w:num>
  <w:num w:numId="28">
    <w:abstractNumId w:val="30"/>
  </w:num>
  <w:num w:numId="29">
    <w:abstractNumId w:val="23"/>
  </w:num>
  <w:num w:numId="30">
    <w:abstractNumId w:val="22"/>
  </w:num>
  <w:num w:numId="31">
    <w:abstractNumId w:val="0"/>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A5D"/>
    <w:rsid w:val="000027B7"/>
    <w:rsid w:val="00005E8D"/>
    <w:rsid w:val="0000754D"/>
    <w:rsid w:val="000116A6"/>
    <w:rsid w:val="000164EB"/>
    <w:rsid w:val="0001672E"/>
    <w:rsid w:val="00017BF8"/>
    <w:rsid w:val="000205B8"/>
    <w:rsid w:val="00022D0D"/>
    <w:rsid w:val="00026A70"/>
    <w:rsid w:val="00026AFF"/>
    <w:rsid w:val="00026BFF"/>
    <w:rsid w:val="00030753"/>
    <w:rsid w:val="00033E0A"/>
    <w:rsid w:val="000340D6"/>
    <w:rsid w:val="00036847"/>
    <w:rsid w:val="000441AC"/>
    <w:rsid w:val="00044838"/>
    <w:rsid w:val="0004646C"/>
    <w:rsid w:val="00050DF4"/>
    <w:rsid w:val="0005113F"/>
    <w:rsid w:val="00051AF2"/>
    <w:rsid w:val="00055A09"/>
    <w:rsid w:val="00055BF0"/>
    <w:rsid w:val="00056725"/>
    <w:rsid w:val="000573B2"/>
    <w:rsid w:val="00057632"/>
    <w:rsid w:val="00057678"/>
    <w:rsid w:val="00057A70"/>
    <w:rsid w:val="00057B95"/>
    <w:rsid w:val="0006439F"/>
    <w:rsid w:val="0006550C"/>
    <w:rsid w:val="00066823"/>
    <w:rsid w:val="00066CFA"/>
    <w:rsid w:val="00072EB2"/>
    <w:rsid w:val="00073C43"/>
    <w:rsid w:val="00076D2A"/>
    <w:rsid w:val="00077174"/>
    <w:rsid w:val="00080E02"/>
    <w:rsid w:val="0008248C"/>
    <w:rsid w:val="00085320"/>
    <w:rsid w:val="000859F6"/>
    <w:rsid w:val="00091458"/>
    <w:rsid w:val="000952DB"/>
    <w:rsid w:val="000976DE"/>
    <w:rsid w:val="000A04D2"/>
    <w:rsid w:val="000A168B"/>
    <w:rsid w:val="000A23B0"/>
    <w:rsid w:val="000A351D"/>
    <w:rsid w:val="000A402F"/>
    <w:rsid w:val="000A4310"/>
    <w:rsid w:val="000B2138"/>
    <w:rsid w:val="000B616E"/>
    <w:rsid w:val="000D1777"/>
    <w:rsid w:val="000D2B0F"/>
    <w:rsid w:val="000D2E9E"/>
    <w:rsid w:val="000D7E6A"/>
    <w:rsid w:val="000E1ACF"/>
    <w:rsid w:val="000E21F1"/>
    <w:rsid w:val="000E3772"/>
    <w:rsid w:val="000E3E69"/>
    <w:rsid w:val="000E65A8"/>
    <w:rsid w:val="000E7DBA"/>
    <w:rsid w:val="000F4B28"/>
    <w:rsid w:val="000F710B"/>
    <w:rsid w:val="00100C47"/>
    <w:rsid w:val="0010314C"/>
    <w:rsid w:val="00104809"/>
    <w:rsid w:val="00105783"/>
    <w:rsid w:val="0010705B"/>
    <w:rsid w:val="00110645"/>
    <w:rsid w:val="001113AB"/>
    <w:rsid w:val="00111448"/>
    <w:rsid w:val="00115FC9"/>
    <w:rsid w:val="00120C29"/>
    <w:rsid w:val="0012141A"/>
    <w:rsid w:val="001261E6"/>
    <w:rsid w:val="0012795F"/>
    <w:rsid w:val="001320D0"/>
    <w:rsid w:val="00132720"/>
    <w:rsid w:val="001328F7"/>
    <w:rsid w:val="00134EFD"/>
    <w:rsid w:val="0013746B"/>
    <w:rsid w:val="00140B32"/>
    <w:rsid w:val="0014590E"/>
    <w:rsid w:val="00146D81"/>
    <w:rsid w:val="00155A59"/>
    <w:rsid w:val="00156459"/>
    <w:rsid w:val="0016061A"/>
    <w:rsid w:val="00161144"/>
    <w:rsid w:val="00161F97"/>
    <w:rsid w:val="0016316D"/>
    <w:rsid w:val="001665A0"/>
    <w:rsid w:val="00167F60"/>
    <w:rsid w:val="00170E86"/>
    <w:rsid w:val="00171C83"/>
    <w:rsid w:val="0017477F"/>
    <w:rsid w:val="00175149"/>
    <w:rsid w:val="00175DC2"/>
    <w:rsid w:val="00176618"/>
    <w:rsid w:val="001770AF"/>
    <w:rsid w:val="00180AE0"/>
    <w:rsid w:val="00184181"/>
    <w:rsid w:val="00184AC6"/>
    <w:rsid w:val="00184AC8"/>
    <w:rsid w:val="00185530"/>
    <w:rsid w:val="001855FA"/>
    <w:rsid w:val="0018561B"/>
    <w:rsid w:val="00187000"/>
    <w:rsid w:val="00191B0C"/>
    <w:rsid w:val="00194048"/>
    <w:rsid w:val="00195188"/>
    <w:rsid w:val="0019730D"/>
    <w:rsid w:val="001A103D"/>
    <w:rsid w:val="001A14FF"/>
    <w:rsid w:val="001A629D"/>
    <w:rsid w:val="001A6BF9"/>
    <w:rsid w:val="001C01DF"/>
    <w:rsid w:val="001C2086"/>
    <w:rsid w:val="001C3312"/>
    <w:rsid w:val="001C3D81"/>
    <w:rsid w:val="001C5C60"/>
    <w:rsid w:val="001C5D97"/>
    <w:rsid w:val="001C64E1"/>
    <w:rsid w:val="001D08D3"/>
    <w:rsid w:val="001D0A29"/>
    <w:rsid w:val="001D1DF7"/>
    <w:rsid w:val="001D4224"/>
    <w:rsid w:val="001D5CCF"/>
    <w:rsid w:val="001D6426"/>
    <w:rsid w:val="001E0625"/>
    <w:rsid w:val="001E2AA4"/>
    <w:rsid w:val="001E3974"/>
    <w:rsid w:val="001E4A7C"/>
    <w:rsid w:val="001E5C65"/>
    <w:rsid w:val="001E6795"/>
    <w:rsid w:val="001E6A74"/>
    <w:rsid w:val="001F1232"/>
    <w:rsid w:val="00202104"/>
    <w:rsid w:val="00203D07"/>
    <w:rsid w:val="00214718"/>
    <w:rsid w:val="0021512B"/>
    <w:rsid w:val="00215A63"/>
    <w:rsid w:val="00217804"/>
    <w:rsid w:val="00217B7C"/>
    <w:rsid w:val="00217CD2"/>
    <w:rsid w:val="002200D5"/>
    <w:rsid w:val="00226CAC"/>
    <w:rsid w:val="0022764D"/>
    <w:rsid w:val="00232166"/>
    <w:rsid w:val="00233A17"/>
    <w:rsid w:val="00234443"/>
    <w:rsid w:val="00236B2C"/>
    <w:rsid w:val="00236DA8"/>
    <w:rsid w:val="0023735D"/>
    <w:rsid w:val="00240B6B"/>
    <w:rsid w:val="002451A1"/>
    <w:rsid w:val="0024587F"/>
    <w:rsid w:val="00247635"/>
    <w:rsid w:val="00253376"/>
    <w:rsid w:val="0025392F"/>
    <w:rsid w:val="0025645B"/>
    <w:rsid w:val="002568D2"/>
    <w:rsid w:val="00257284"/>
    <w:rsid w:val="00261174"/>
    <w:rsid w:val="0026187C"/>
    <w:rsid w:val="00261D5F"/>
    <w:rsid w:val="00261DB7"/>
    <w:rsid w:val="00263D17"/>
    <w:rsid w:val="002644DC"/>
    <w:rsid w:val="00267126"/>
    <w:rsid w:val="00270749"/>
    <w:rsid w:val="00274095"/>
    <w:rsid w:val="00274CA0"/>
    <w:rsid w:val="002756BF"/>
    <w:rsid w:val="00275E71"/>
    <w:rsid w:val="00276C1B"/>
    <w:rsid w:val="00281278"/>
    <w:rsid w:val="00283EFA"/>
    <w:rsid w:val="00287B41"/>
    <w:rsid w:val="0029035D"/>
    <w:rsid w:val="00291477"/>
    <w:rsid w:val="00293169"/>
    <w:rsid w:val="002952A9"/>
    <w:rsid w:val="00296103"/>
    <w:rsid w:val="002970BF"/>
    <w:rsid w:val="0029759E"/>
    <w:rsid w:val="002B05B2"/>
    <w:rsid w:val="002B1CF9"/>
    <w:rsid w:val="002B1F06"/>
    <w:rsid w:val="002B2D1B"/>
    <w:rsid w:val="002B3B8B"/>
    <w:rsid w:val="002B5F28"/>
    <w:rsid w:val="002B7A6B"/>
    <w:rsid w:val="002C1201"/>
    <w:rsid w:val="002C4558"/>
    <w:rsid w:val="002C70A0"/>
    <w:rsid w:val="002C7576"/>
    <w:rsid w:val="002D7464"/>
    <w:rsid w:val="002D7701"/>
    <w:rsid w:val="002E752B"/>
    <w:rsid w:val="002F04D7"/>
    <w:rsid w:val="002F51EF"/>
    <w:rsid w:val="002F6A8E"/>
    <w:rsid w:val="002F7D61"/>
    <w:rsid w:val="0030044D"/>
    <w:rsid w:val="0030286F"/>
    <w:rsid w:val="00302E9A"/>
    <w:rsid w:val="003037F0"/>
    <w:rsid w:val="00305906"/>
    <w:rsid w:val="00305D33"/>
    <w:rsid w:val="0030614A"/>
    <w:rsid w:val="0030651D"/>
    <w:rsid w:val="003115EA"/>
    <w:rsid w:val="00311A63"/>
    <w:rsid w:val="00311E4C"/>
    <w:rsid w:val="00314196"/>
    <w:rsid w:val="00314A4A"/>
    <w:rsid w:val="00315E8A"/>
    <w:rsid w:val="003178C4"/>
    <w:rsid w:val="00320584"/>
    <w:rsid w:val="00322783"/>
    <w:rsid w:val="00327DEC"/>
    <w:rsid w:val="00330297"/>
    <w:rsid w:val="00331477"/>
    <w:rsid w:val="003363A5"/>
    <w:rsid w:val="00337A65"/>
    <w:rsid w:val="00341215"/>
    <w:rsid w:val="00341ABC"/>
    <w:rsid w:val="003442E6"/>
    <w:rsid w:val="00344A6C"/>
    <w:rsid w:val="00345316"/>
    <w:rsid w:val="0034640E"/>
    <w:rsid w:val="00346588"/>
    <w:rsid w:val="003502F8"/>
    <w:rsid w:val="0035057B"/>
    <w:rsid w:val="00350D44"/>
    <w:rsid w:val="00353017"/>
    <w:rsid w:val="00353982"/>
    <w:rsid w:val="00353EFA"/>
    <w:rsid w:val="003625B6"/>
    <w:rsid w:val="003678F1"/>
    <w:rsid w:val="00367C83"/>
    <w:rsid w:val="0037015C"/>
    <w:rsid w:val="0037354F"/>
    <w:rsid w:val="00374008"/>
    <w:rsid w:val="003745B7"/>
    <w:rsid w:val="00380A17"/>
    <w:rsid w:val="0038144B"/>
    <w:rsid w:val="00381FF8"/>
    <w:rsid w:val="0038258F"/>
    <w:rsid w:val="003828E5"/>
    <w:rsid w:val="00384161"/>
    <w:rsid w:val="003853E0"/>
    <w:rsid w:val="00386395"/>
    <w:rsid w:val="00386796"/>
    <w:rsid w:val="0038784A"/>
    <w:rsid w:val="0038784C"/>
    <w:rsid w:val="003911F9"/>
    <w:rsid w:val="00391EC6"/>
    <w:rsid w:val="00392016"/>
    <w:rsid w:val="0039551D"/>
    <w:rsid w:val="00396834"/>
    <w:rsid w:val="003A4225"/>
    <w:rsid w:val="003A6AC0"/>
    <w:rsid w:val="003B0915"/>
    <w:rsid w:val="003B2FD7"/>
    <w:rsid w:val="003B51A7"/>
    <w:rsid w:val="003B7094"/>
    <w:rsid w:val="003C0E44"/>
    <w:rsid w:val="003C702B"/>
    <w:rsid w:val="003D2628"/>
    <w:rsid w:val="003D27C9"/>
    <w:rsid w:val="003D7DFE"/>
    <w:rsid w:val="003E145B"/>
    <w:rsid w:val="003E1DE5"/>
    <w:rsid w:val="003E2FD1"/>
    <w:rsid w:val="003E5FE7"/>
    <w:rsid w:val="003E74EA"/>
    <w:rsid w:val="003F2BBF"/>
    <w:rsid w:val="003F2F45"/>
    <w:rsid w:val="003F5209"/>
    <w:rsid w:val="003F5AF2"/>
    <w:rsid w:val="003F5E65"/>
    <w:rsid w:val="003F6428"/>
    <w:rsid w:val="003F69DD"/>
    <w:rsid w:val="003F7106"/>
    <w:rsid w:val="00404030"/>
    <w:rsid w:val="00406FDB"/>
    <w:rsid w:val="00407B34"/>
    <w:rsid w:val="00411765"/>
    <w:rsid w:val="00412CAF"/>
    <w:rsid w:val="004179AF"/>
    <w:rsid w:val="00426CEE"/>
    <w:rsid w:val="00427C17"/>
    <w:rsid w:val="00430696"/>
    <w:rsid w:val="004326C9"/>
    <w:rsid w:val="0043289C"/>
    <w:rsid w:val="00432AB9"/>
    <w:rsid w:val="00434C74"/>
    <w:rsid w:val="00436A5C"/>
    <w:rsid w:val="00436AD2"/>
    <w:rsid w:val="00436AE7"/>
    <w:rsid w:val="00441E36"/>
    <w:rsid w:val="004426FF"/>
    <w:rsid w:val="00442B54"/>
    <w:rsid w:val="00443023"/>
    <w:rsid w:val="0044348B"/>
    <w:rsid w:val="0044631B"/>
    <w:rsid w:val="004508AA"/>
    <w:rsid w:val="00451D1F"/>
    <w:rsid w:val="00453A03"/>
    <w:rsid w:val="0045424A"/>
    <w:rsid w:val="00455D1F"/>
    <w:rsid w:val="0046143F"/>
    <w:rsid w:val="00461C31"/>
    <w:rsid w:val="004645D3"/>
    <w:rsid w:val="00470CF0"/>
    <w:rsid w:val="00475D22"/>
    <w:rsid w:val="00477602"/>
    <w:rsid w:val="00482ECF"/>
    <w:rsid w:val="00484C54"/>
    <w:rsid w:val="004867CC"/>
    <w:rsid w:val="004906F3"/>
    <w:rsid w:val="0049122A"/>
    <w:rsid w:val="00491DA1"/>
    <w:rsid w:val="00492DE7"/>
    <w:rsid w:val="00493311"/>
    <w:rsid w:val="00495414"/>
    <w:rsid w:val="00496D48"/>
    <w:rsid w:val="004A2059"/>
    <w:rsid w:val="004A332B"/>
    <w:rsid w:val="004A5856"/>
    <w:rsid w:val="004A70A1"/>
    <w:rsid w:val="004B14C6"/>
    <w:rsid w:val="004B6549"/>
    <w:rsid w:val="004B7A4C"/>
    <w:rsid w:val="004C440D"/>
    <w:rsid w:val="004D4D7E"/>
    <w:rsid w:val="004E1880"/>
    <w:rsid w:val="004F2EBA"/>
    <w:rsid w:val="004F3CD4"/>
    <w:rsid w:val="004F4583"/>
    <w:rsid w:val="004F7243"/>
    <w:rsid w:val="004F7F3F"/>
    <w:rsid w:val="0050110D"/>
    <w:rsid w:val="0050318C"/>
    <w:rsid w:val="00504732"/>
    <w:rsid w:val="00505493"/>
    <w:rsid w:val="00506D8A"/>
    <w:rsid w:val="005201C0"/>
    <w:rsid w:val="00523730"/>
    <w:rsid w:val="005244AB"/>
    <w:rsid w:val="00524683"/>
    <w:rsid w:val="00525C3D"/>
    <w:rsid w:val="0053087A"/>
    <w:rsid w:val="005353EB"/>
    <w:rsid w:val="005372B9"/>
    <w:rsid w:val="005379B0"/>
    <w:rsid w:val="00537C20"/>
    <w:rsid w:val="00544BC6"/>
    <w:rsid w:val="005461CE"/>
    <w:rsid w:val="005469F4"/>
    <w:rsid w:val="00550890"/>
    <w:rsid w:val="00550F20"/>
    <w:rsid w:val="005534E8"/>
    <w:rsid w:val="00560532"/>
    <w:rsid w:val="00560697"/>
    <w:rsid w:val="00560F85"/>
    <w:rsid w:val="00562F88"/>
    <w:rsid w:val="00563CC3"/>
    <w:rsid w:val="0056552E"/>
    <w:rsid w:val="00570D4E"/>
    <w:rsid w:val="0057112D"/>
    <w:rsid w:val="0057292C"/>
    <w:rsid w:val="0057440B"/>
    <w:rsid w:val="0057789B"/>
    <w:rsid w:val="00581771"/>
    <w:rsid w:val="00583FDE"/>
    <w:rsid w:val="00585186"/>
    <w:rsid w:val="00586F31"/>
    <w:rsid w:val="0059029F"/>
    <w:rsid w:val="00590A62"/>
    <w:rsid w:val="00592CD3"/>
    <w:rsid w:val="00595376"/>
    <w:rsid w:val="005A0D2E"/>
    <w:rsid w:val="005A0D54"/>
    <w:rsid w:val="005A1D43"/>
    <w:rsid w:val="005B2702"/>
    <w:rsid w:val="005B284A"/>
    <w:rsid w:val="005C031B"/>
    <w:rsid w:val="005C1415"/>
    <w:rsid w:val="005C22AA"/>
    <w:rsid w:val="005C328E"/>
    <w:rsid w:val="005C4738"/>
    <w:rsid w:val="005C58D8"/>
    <w:rsid w:val="005C6120"/>
    <w:rsid w:val="005D249C"/>
    <w:rsid w:val="005D4D82"/>
    <w:rsid w:val="005D51A3"/>
    <w:rsid w:val="005D5D1C"/>
    <w:rsid w:val="005D73AB"/>
    <w:rsid w:val="005E16BF"/>
    <w:rsid w:val="005E54EC"/>
    <w:rsid w:val="005E6717"/>
    <w:rsid w:val="00600E8F"/>
    <w:rsid w:val="006015C0"/>
    <w:rsid w:val="00605041"/>
    <w:rsid w:val="0060529E"/>
    <w:rsid w:val="00605866"/>
    <w:rsid w:val="00610341"/>
    <w:rsid w:val="00612BDE"/>
    <w:rsid w:val="00613C31"/>
    <w:rsid w:val="00616B8D"/>
    <w:rsid w:val="00616CB7"/>
    <w:rsid w:val="00617096"/>
    <w:rsid w:val="0061766D"/>
    <w:rsid w:val="00617D34"/>
    <w:rsid w:val="00622E39"/>
    <w:rsid w:val="0062620B"/>
    <w:rsid w:val="00630200"/>
    <w:rsid w:val="006304EE"/>
    <w:rsid w:val="006314AD"/>
    <w:rsid w:val="006324F5"/>
    <w:rsid w:val="00632D6A"/>
    <w:rsid w:val="006339C6"/>
    <w:rsid w:val="00637C00"/>
    <w:rsid w:val="00643282"/>
    <w:rsid w:val="00644A5A"/>
    <w:rsid w:val="00644A75"/>
    <w:rsid w:val="00651DCB"/>
    <w:rsid w:val="00652127"/>
    <w:rsid w:val="006521CE"/>
    <w:rsid w:val="00653373"/>
    <w:rsid w:val="00656C93"/>
    <w:rsid w:val="00661AF5"/>
    <w:rsid w:val="00662085"/>
    <w:rsid w:val="006621C7"/>
    <w:rsid w:val="00663252"/>
    <w:rsid w:val="00663807"/>
    <w:rsid w:val="006719E0"/>
    <w:rsid w:val="0067560A"/>
    <w:rsid w:val="00676700"/>
    <w:rsid w:val="00677729"/>
    <w:rsid w:val="00680844"/>
    <w:rsid w:val="00680B42"/>
    <w:rsid w:val="006833F2"/>
    <w:rsid w:val="00685724"/>
    <w:rsid w:val="00687AE1"/>
    <w:rsid w:val="006A0216"/>
    <w:rsid w:val="006A051D"/>
    <w:rsid w:val="006A057A"/>
    <w:rsid w:val="006A0E92"/>
    <w:rsid w:val="006A2AF0"/>
    <w:rsid w:val="006A3D65"/>
    <w:rsid w:val="006A58C5"/>
    <w:rsid w:val="006A5E8C"/>
    <w:rsid w:val="006A7991"/>
    <w:rsid w:val="006B41B6"/>
    <w:rsid w:val="006C20A6"/>
    <w:rsid w:val="006C24B5"/>
    <w:rsid w:val="006C3608"/>
    <w:rsid w:val="006C68AD"/>
    <w:rsid w:val="006D6011"/>
    <w:rsid w:val="006E0C7C"/>
    <w:rsid w:val="006E1349"/>
    <w:rsid w:val="006F0DEB"/>
    <w:rsid w:val="006F3FA8"/>
    <w:rsid w:val="006F558F"/>
    <w:rsid w:val="006F5C7B"/>
    <w:rsid w:val="006F60B9"/>
    <w:rsid w:val="006F6608"/>
    <w:rsid w:val="007003A2"/>
    <w:rsid w:val="007013AB"/>
    <w:rsid w:val="00702496"/>
    <w:rsid w:val="00705890"/>
    <w:rsid w:val="00705BDB"/>
    <w:rsid w:val="00705FD4"/>
    <w:rsid w:val="00707B7D"/>
    <w:rsid w:val="00710970"/>
    <w:rsid w:val="00712FAE"/>
    <w:rsid w:val="00713A8C"/>
    <w:rsid w:val="00714279"/>
    <w:rsid w:val="00714965"/>
    <w:rsid w:val="00716585"/>
    <w:rsid w:val="0072537D"/>
    <w:rsid w:val="0072546E"/>
    <w:rsid w:val="0072678A"/>
    <w:rsid w:val="00731DE2"/>
    <w:rsid w:val="00733BC0"/>
    <w:rsid w:val="00735ED4"/>
    <w:rsid w:val="00740338"/>
    <w:rsid w:val="00741163"/>
    <w:rsid w:val="00741308"/>
    <w:rsid w:val="007428D2"/>
    <w:rsid w:val="00747556"/>
    <w:rsid w:val="007509B1"/>
    <w:rsid w:val="00757609"/>
    <w:rsid w:val="00762592"/>
    <w:rsid w:val="0076395B"/>
    <w:rsid w:val="00763AD2"/>
    <w:rsid w:val="007659FC"/>
    <w:rsid w:val="00767011"/>
    <w:rsid w:val="00770F59"/>
    <w:rsid w:val="0077186D"/>
    <w:rsid w:val="00771921"/>
    <w:rsid w:val="00772C2F"/>
    <w:rsid w:val="0077450C"/>
    <w:rsid w:val="00774A1E"/>
    <w:rsid w:val="0077555B"/>
    <w:rsid w:val="00777E14"/>
    <w:rsid w:val="0078117C"/>
    <w:rsid w:val="00781805"/>
    <w:rsid w:val="007824D8"/>
    <w:rsid w:val="0078595B"/>
    <w:rsid w:val="00785B6A"/>
    <w:rsid w:val="007860EC"/>
    <w:rsid w:val="0078665D"/>
    <w:rsid w:val="00791AEB"/>
    <w:rsid w:val="007A0753"/>
    <w:rsid w:val="007A1CCA"/>
    <w:rsid w:val="007A24CD"/>
    <w:rsid w:val="007A26BE"/>
    <w:rsid w:val="007A3854"/>
    <w:rsid w:val="007A4061"/>
    <w:rsid w:val="007A4E35"/>
    <w:rsid w:val="007A68E3"/>
    <w:rsid w:val="007A6AB3"/>
    <w:rsid w:val="007A76F6"/>
    <w:rsid w:val="007B0807"/>
    <w:rsid w:val="007B41D5"/>
    <w:rsid w:val="007B687C"/>
    <w:rsid w:val="007C0CE9"/>
    <w:rsid w:val="007C166F"/>
    <w:rsid w:val="007C5FDE"/>
    <w:rsid w:val="007C6CE4"/>
    <w:rsid w:val="007C7111"/>
    <w:rsid w:val="007C73DD"/>
    <w:rsid w:val="007C79D0"/>
    <w:rsid w:val="007D12EE"/>
    <w:rsid w:val="007D1C15"/>
    <w:rsid w:val="007D1F3C"/>
    <w:rsid w:val="007E041C"/>
    <w:rsid w:val="007E33C5"/>
    <w:rsid w:val="007E34AD"/>
    <w:rsid w:val="007E5BA5"/>
    <w:rsid w:val="007F01EA"/>
    <w:rsid w:val="007F230B"/>
    <w:rsid w:val="007F27D4"/>
    <w:rsid w:val="007F2DCF"/>
    <w:rsid w:val="007F52A8"/>
    <w:rsid w:val="007F5B3D"/>
    <w:rsid w:val="007F69C1"/>
    <w:rsid w:val="00801C05"/>
    <w:rsid w:val="0080203D"/>
    <w:rsid w:val="008051A0"/>
    <w:rsid w:val="008124AC"/>
    <w:rsid w:val="00812852"/>
    <w:rsid w:val="00814413"/>
    <w:rsid w:val="00814DE7"/>
    <w:rsid w:val="00816E5B"/>
    <w:rsid w:val="008237B8"/>
    <w:rsid w:val="008260A8"/>
    <w:rsid w:val="00826297"/>
    <w:rsid w:val="00827BEC"/>
    <w:rsid w:val="00832A14"/>
    <w:rsid w:val="00833F5C"/>
    <w:rsid w:val="0084187C"/>
    <w:rsid w:val="008426FB"/>
    <w:rsid w:val="008431D1"/>
    <w:rsid w:val="00844127"/>
    <w:rsid w:val="008444D1"/>
    <w:rsid w:val="00846149"/>
    <w:rsid w:val="00846AAE"/>
    <w:rsid w:val="00850206"/>
    <w:rsid w:val="00864CBF"/>
    <w:rsid w:val="008708F8"/>
    <w:rsid w:val="00871F36"/>
    <w:rsid w:val="00872A7B"/>
    <w:rsid w:val="0087300E"/>
    <w:rsid w:val="00875A37"/>
    <w:rsid w:val="00877C4E"/>
    <w:rsid w:val="008817B0"/>
    <w:rsid w:val="00881842"/>
    <w:rsid w:val="0088782C"/>
    <w:rsid w:val="008912AB"/>
    <w:rsid w:val="00893E94"/>
    <w:rsid w:val="0089422E"/>
    <w:rsid w:val="008943DE"/>
    <w:rsid w:val="008A0B97"/>
    <w:rsid w:val="008A115F"/>
    <w:rsid w:val="008A7918"/>
    <w:rsid w:val="008B1EC1"/>
    <w:rsid w:val="008B455C"/>
    <w:rsid w:val="008B4773"/>
    <w:rsid w:val="008B7763"/>
    <w:rsid w:val="008C25DD"/>
    <w:rsid w:val="008C458D"/>
    <w:rsid w:val="008C4B11"/>
    <w:rsid w:val="008C6156"/>
    <w:rsid w:val="008D2340"/>
    <w:rsid w:val="008D437D"/>
    <w:rsid w:val="008D5E62"/>
    <w:rsid w:val="008D6B5E"/>
    <w:rsid w:val="008D6B84"/>
    <w:rsid w:val="008D7B2A"/>
    <w:rsid w:val="008E1125"/>
    <w:rsid w:val="008E3ED2"/>
    <w:rsid w:val="008E705F"/>
    <w:rsid w:val="008E7936"/>
    <w:rsid w:val="008E79BD"/>
    <w:rsid w:val="008F39D5"/>
    <w:rsid w:val="008F3C12"/>
    <w:rsid w:val="008F7B11"/>
    <w:rsid w:val="008F7B27"/>
    <w:rsid w:val="008F7CDD"/>
    <w:rsid w:val="009012C2"/>
    <w:rsid w:val="00903CA1"/>
    <w:rsid w:val="009061E1"/>
    <w:rsid w:val="00912DCD"/>
    <w:rsid w:val="00914804"/>
    <w:rsid w:val="009153F4"/>
    <w:rsid w:val="009207AB"/>
    <w:rsid w:val="00924851"/>
    <w:rsid w:val="00924AE7"/>
    <w:rsid w:val="009327B6"/>
    <w:rsid w:val="00933864"/>
    <w:rsid w:val="0093470E"/>
    <w:rsid w:val="00936AC3"/>
    <w:rsid w:val="00936DB6"/>
    <w:rsid w:val="00940653"/>
    <w:rsid w:val="00943186"/>
    <w:rsid w:val="00944870"/>
    <w:rsid w:val="0094632E"/>
    <w:rsid w:val="0094635E"/>
    <w:rsid w:val="00947AC4"/>
    <w:rsid w:val="00947F25"/>
    <w:rsid w:val="0095175E"/>
    <w:rsid w:val="009520D9"/>
    <w:rsid w:val="0095301B"/>
    <w:rsid w:val="009538EB"/>
    <w:rsid w:val="00960C96"/>
    <w:rsid w:val="00964734"/>
    <w:rsid w:val="0096508E"/>
    <w:rsid w:val="00965699"/>
    <w:rsid w:val="009675D2"/>
    <w:rsid w:val="00976FF5"/>
    <w:rsid w:val="00981E40"/>
    <w:rsid w:val="009823CA"/>
    <w:rsid w:val="00990302"/>
    <w:rsid w:val="00990BE4"/>
    <w:rsid w:val="00991F2F"/>
    <w:rsid w:val="00993A2C"/>
    <w:rsid w:val="00994DFE"/>
    <w:rsid w:val="009961A1"/>
    <w:rsid w:val="009A4A57"/>
    <w:rsid w:val="009B0B82"/>
    <w:rsid w:val="009B2EC9"/>
    <w:rsid w:val="009B51A2"/>
    <w:rsid w:val="009B53D5"/>
    <w:rsid w:val="009B548B"/>
    <w:rsid w:val="009C2556"/>
    <w:rsid w:val="009C2BB7"/>
    <w:rsid w:val="009C36A6"/>
    <w:rsid w:val="009C4F6B"/>
    <w:rsid w:val="009C5837"/>
    <w:rsid w:val="009C5F61"/>
    <w:rsid w:val="009C745D"/>
    <w:rsid w:val="009D1189"/>
    <w:rsid w:val="009D127F"/>
    <w:rsid w:val="009D2710"/>
    <w:rsid w:val="009D30B8"/>
    <w:rsid w:val="009D6C34"/>
    <w:rsid w:val="009E0904"/>
    <w:rsid w:val="009E7612"/>
    <w:rsid w:val="009E7B2F"/>
    <w:rsid w:val="009F4B1E"/>
    <w:rsid w:val="009F4D8A"/>
    <w:rsid w:val="009F6B97"/>
    <w:rsid w:val="00A00CF5"/>
    <w:rsid w:val="00A02512"/>
    <w:rsid w:val="00A02728"/>
    <w:rsid w:val="00A0565E"/>
    <w:rsid w:val="00A0569E"/>
    <w:rsid w:val="00A10835"/>
    <w:rsid w:val="00A16B3F"/>
    <w:rsid w:val="00A2049A"/>
    <w:rsid w:val="00A222DA"/>
    <w:rsid w:val="00A22555"/>
    <w:rsid w:val="00A2420C"/>
    <w:rsid w:val="00A247B7"/>
    <w:rsid w:val="00A258E6"/>
    <w:rsid w:val="00A30C26"/>
    <w:rsid w:val="00A32E44"/>
    <w:rsid w:val="00A33954"/>
    <w:rsid w:val="00A34768"/>
    <w:rsid w:val="00A354B9"/>
    <w:rsid w:val="00A365FD"/>
    <w:rsid w:val="00A37A63"/>
    <w:rsid w:val="00A418A5"/>
    <w:rsid w:val="00A43E64"/>
    <w:rsid w:val="00A4585D"/>
    <w:rsid w:val="00A46153"/>
    <w:rsid w:val="00A46F0D"/>
    <w:rsid w:val="00A50C3C"/>
    <w:rsid w:val="00A54F6F"/>
    <w:rsid w:val="00A55821"/>
    <w:rsid w:val="00A6033D"/>
    <w:rsid w:val="00A672AF"/>
    <w:rsid w:val="00A703C9"/>
    <w:rsid w:val="00A72722"/>
    <w:rsid w:val="00A76A6E"/>
    <w:rsid w:val="00A77461"/>
    <w:rsid w:val="00A80EA8"/>
    <w:rsid w:val="00A8437F"/>
    <w:rsid w:val="00A851B7"/>
    <w:rsid w:val="00A86B0F"/>
    <w:rsid w:val="00A877C6"/>
    <w:rsid w:val="00A9049E"/>
    <w:rsid w:val="00A9081A"/>
    <w:rsid w:val="00A9117C"/>
    <w:rsid w:val="00A916B9"/>
    <w:rsid w:val="00A93466"/>
    <w:rsid w:val="00A93918"/>
    <w:rsid w:val="00A95057"/>
    <w:rsid w:val="00AA4352"/>
    <w:rsid w:val="00AA5954"/>
    <w:rsid w:val="00AA6AFF"/>
    <w:rsid w:val="00AB4B3B"/>
    <w:rsid w:val="00AB6D3E"/>
    <w:rsid w:val="00AC0AC4"/>
    <w:rsid w:val="00AC0CC3"/>
    <w:rsid w:val="00AC2214"/>
    <w:rsid w:val="00AC4FFC"/>
    <w:rsid w:val="00AC79C2"/>
    <w:rsid w:val="00AD2420"/>
    <w:rsid w:val="00AD3CB3"/>
    <w:rsid w:val="00AD51A6"/>
    <w:rsid w:val="00AD5665"/>
    <w:rsid w:val="00AD6BD2"/>
    <w:rsid w:val="00AD70EA"/>
    <w:rsid w:val="00AF36B4"/>
    <w:rsid w:val="00AF5708"/>
    <w:rsid w:val="00AF6A24"/>
    <w:rsid w:val="00B00DA6"/>
    <w:rsid w:val="00B035EE"/>
    <w:rsid w:val="00B03AF6"/>
    <w:rsid w:val="00B052E7"/>
    <w:rsid w:val="00B058C0"/>
    <w:rsid w:val="00B1013E"/>
    <w:rsid w:val="00B10FEA"/>
    <w:rsid w:val="00B12652"/>
    <w:rsid w:val="00B1307B"/>
    <w:rsid w:val="00B1399B"/>
    <w:rsid w:val="00B14B28"/>
    <w:rsid w:val="00B16827"/>
    <w:rsid w:val="00B1722B"/>
    <w:rsid w:val="00B20DFA"/>
    <w:rsid w:val="00B2322B"/>
    <w:rsid w:val="00B257B6"/>
    <w:rsid w:val="00B268A4"/>
    <w:rsid w:val="00B279B5"/>
    <w:rsid w:val="00B33FA3"/>
    <w:rsid w:val="00B37EF7"/>
    <w:rsid w:val="00B4089F"/>
    <w:rsid w:val="00B40B58"/>
    <w:rsid w:val="00B4339A"/>
    <w:rsid w:val="00B455E7"/>
    <w:rsid w:val="00B509F2"/>
    <w:rsid w:val="00B51803"/>
    <w:rsid w:val="00B52A21"/>
    <w:rsid w:val="00B55A53"/>
    <w:rsid w:val="00B57A52"/>
    <w:rsid w:val="00B6199E"/>
    <w:rsid w:val="00B625D4"/>
    <w:rsid w:val="00B63A38"/>
    <w:rsid w:val="00B643F3"/>
    <w:rsid w:val="00B65303"/>
    <w:rsid w:val="00B65A25"/>
    <w:rsid w:val="00B7443F"/>
    <w:rsid w:val="00B74B0C"/>
    <w:rsid w:val="00B7569D"/>
    <w:rsid w:val="00B7611E"/>
    <w:rsid w:val="00B85B69"/>
    <w:rsid w:val="00B87CFA"/>
    <w:rsid w:val="00B92372"/>
    <w:rsid w:val="00B94F41"/>
    <w:rsid w:val="00B956E5"/>
    <w:rsid w:val="00B95EA3"/>
    <w:rsid w:val="00B9638E"/>
    <w:rsid w:val="00B96CA4"/>
    <w:rsid w:val="00BA39AF"/>
    <w:rsid w:val="00BB15EA"/>
    <w:rsid w:val="00BB19E2"/>
    <w:rsid w:val="00BB51BE"/>
    <w:rsid w:val="00BC1A4D"/>
    <w:rsid w:val="00BD15D5"/>
    <w:rsid w:val="00BD22AE"/>
    <w:rsid w:val="00BD2E31"/>
    <w:rsid w:val="00BD3A5D"/>
    <w:rsid w:val="00BD3AD7"/>
    <w:rsid w:val="00BD43C0"/>
    <w:rsid w:val="00BD4A5E"/>
    <w:rsid w:val="00BD5E19"/>
    <w:rsid w:val="00BD6817"/>
    <w:rsid w:val="00BE228C"/>
    <w:rsid w:val="00BE23F3"/>
    <w:rsid w:val="00BE2A16"/>
    <w:rsid w:val="00BE380B"/>
    <w:rsid w:val="00BE47FD"/>
    <w:rsid w:val="00BE79B5"/>
    <w:rsid w:val="00BF00A3"/>
    <w:rsid w:val="00BF1C30"/>
    <w:rsid w:val="00BF2756"/>
    <w:rsid w:val="00BF36D6"/>
    <w:rsid w:val="00BF5A0B"/>
    <w:rsid w:val="00BF7958"/>
    <w:rsid w:val="00C0008B"/>
    <w:rsid w:val="00C00549"/>
    <w:rsid w:val="00C00BD8"/>
    <w:rsid w:val="00C013C3"/>
    <w:rsid w:val="00C04F89"/>
    <w:rsid w:val="00C05CD3"/>
    <w:rsid w:val="00C0679D"/>
    <w:rsid w:val="00C06B34"/>
    <w:rsid w:val="00C119BD"/>
    <w:rsid w:val="00C1320E"/>
    <w:rsid w:val="00C1443A"/>
    <w:rsid w:val="00C15809"/>
    <w:rsid w:val="00C20873"/>
    <w:rsid w:val="00C22849"/>
    <w:rsid w:val="00C34B93"/>
    <w:rsid w:val="00C41F52"/>
    <w:rsid w:val="00C4322C"/>
    <w:rsid w:val="00C50141"/>
    <w:rsid w:val="00C52138"/>
    <w:rsid w:val="00C60222"/>
    <w:rsid w:val="00C615E2"/>
    <w:rsid w:val="00C717A4"/>
    <w:rsid w:val="00C748BE"/>
    <w:rsid w:val="00C77443"/>
    <w:rsid w:val="00C77BC8"/>
    <w:rsid w:val="00C81D69"/>
    <w:rsid w:val="00C84238"/>
    <w:rsid w:val="00C84AFD"/>
    <w:rsid w:val="00C8643C"/>
    <w:rsid w:val="00C87422"/>
    <w:rsid w:val="00C9043C"/>
    <w:rsid w:val="00C914D2"/>
    <w:rsid w:val="00C9355D"/>
    <w:rsid w:val="00C93AF2"/>
    <w:rsid w:val="00C94DA3"/>
    <w:rsid w:val="00C9743C"/>
    <w:rsid w:val="00CA03AF"/>
    <w:rsid w:val="00CA3C4E"/>
    <w:rsid w:val="00CA6A7F"/>
    <w:rsid w:val="00CB4A8B"/>
    <w:rsid w:val="00CC0923"/>
    <w:rsid w:val="00CE234E"/>
    <w:rsid w:val="00CE391B"/>
    <w:rsid w:val="00CE43B7"/>
    <w:rsid w:val="00CE4609"/>
    <w:rsid w:val="00CE4BBA"/>
    <w:rsid w:val="00CE5085"/>
    <w:rsid w:val="00CE77F0"/>
    <w:rsid w:val="00CF3053"/>
    <w:rsid w:val="00CF36CB"/>
    <w:rsid w:val="00CF401F"/>
    <w:rsid w:val="00D00315"/>
    <w:rsid w:val="00D028C2"/>
    <w:rsid w:val="00D03A0A"/>
    <w:rsid w:val="00D0437B"/>
    <w:rsid w:val="00D05CBB"/>
    <w:rsid w:val="00D07844"/>
    <w:rsid w:val="00D131B0"/>
    <w:rsid w:val="00D16DDC"/>
    <w:rsid w:val="00D17A0B"/>
    <w:rsid w:val="00D17A89"/>
    <w:rsid w:val="00D22860"/>
    <w:rsid w:val="00D22B0C"/>
    <w:rsid w:val="00D230D8"/>
    <w:rsid w:val="00D23333"/>
    <w:rsid w:val="00D238F8"/>
    <w:rsid w:val="00D24098"/>
    <w:rsid w:val="00D24A14"/>
    <w:rsid w:val="00D25096"/>
    <w:rsid w:val="00D3020D"/>
    <w:rsid w:val="00D31740"/>
    <w:rsid w:val="00D31EEC"/>
    <w:rsid w:val="00D3516B"/>
    <w:rsid w:val="00D35FA1"/>
    <w:rsid w:val="00D36ECD"/>
    <w:rsid w:val="00D438C6"/>
    <w:rsid w:val="00D501D0"/>
    <w:rsid w:val="00D53343"/>
    <w:rsid w:val="00D543CD"/>
    <w:rsid w:val="00D573F4"/>
    <w:rsid w:val="00D60A72"/>
    <w:rsid w:val="00D611A5"/>
    <w:rsid w:val="00D6310C"/>
    <w:rsid w:val="00D63E04"/>
    <w:rsid w:val="00D66B56"/>
    <w:rsid w:val="00D671C8"/>
    <w:rsid w:val="00D6744E"/>
    <w:rsid w:val="00D707CF"/>
    <w:rsid w:val="00D70A9A"/>
    <w:rsid w:val="00D7270B"/>
    <w:rsid w:val="00D72911"/>
    <w:rsid w:val="00D73F41"/>
    <w:rsid w:val="00D75D02"/>
    <w:rsid w:val="00D77F2B"/>
    <w:rsid w:val="00D8230F"/>
    <w:rsid w:val="00D83556"/>
    <w:rsid w:val="00D84403"/>
    <w:rsid w:val="00D92176"/>
    <w:rsid w:val="00D9720B"/>
    <w:rsid w:val="00DA0B48"/>
    <w:rsid w:val="00DA176C"/>
    <w:rsid w:val="00DA188B"/>
    <w:rsid w:val="00DA3CBF"/>
    <w:rsid w:val="00DA4014"/>
    <w:rsid w:val="00DA52EB"/>
    <w:rsid w:val="00DA5B6F"/>
    <w:rsid w:val="00DA7C2C"/>
    <w:rsid w:val="00DB1E06"/>
    <w:rsid w:val="00DB7E52"/>
    <w:rsid w:val="00DC0486"/>
    <w:rsid w:val="00DC0AEE"/>
    <w:rsid w:val="00DC1B85"/>
    <w:rsid w:val="00DC24B4"/>
    <w:rsid w:val="00DC45EB"/>
    <w:rsid w:val="00DC5F3E"/>
    <w:rsid w:val="00DC727A"/>
    <w:rsid w:val="00DD24EF"/>
    <w:rsid w:val="00DD3563"/>
    <w:rsid w:val="00DD7FD6"/>
    <w:rsid w:val="00DE0987"/>
    <w:rsid w:val="00DE0ACA"/>
    <w:rsid w:val="00DE421A"/>
    <w:rsid w:val="00DE5873"/>
    <w:rsid w:val="00DE68EC"/>
    <w:rsid w:val="00DE6CAF"/>
    <w:rsid w:val="00DF0695"/>
    <w:rsid w:val="00DF13E7"/>
    <w:rsid w:val="00DF176E"/>
    <w:rsid w:val="00DF29FA"/>
    <w:rsid w:val="00DF3403"/>
    <w:rsid w:val="00DF387C"/>
    <w:rsid w:val="00DF39B8"/>
    <w:rsid w:val="00DF4091"/>
    <w:rsid w:val="00DF6626"/>
    <w:rsid w:val="00E00265"/>
    <w:rsid w:val="00E04361"/>
    <w:rsid w:val="00E11658"/>
    <w:rsid w:val="00E13AA8"/>
    <w:rsid w:val="00E14D38"/>
    <w:rsid w:val="00E15273"/>
    <w:rsid w:val="00E165F0"/>
    <w:rsid w:val="00E21EE1"/>
    <w:rsid w:val="00E22763"/>
    <w:rsid w:val="00E251ED"/>
    <w:rsid w:val="00E2545A"/>
    <w:rsid w:val="00E25749"/>
    <w:rsid w:val="00E3082D"/>
    <w:rsid w:val="00E31666"/>
    <w:rsid w:val="00E31F5C"/>
    <w:rsid w:val="00E32923"/>
    <w:rsid w:val="00E424B0"/>
    <w:rsid w:val="00E50513"/>
    <w:rsid w:val="00E50E0C"/>
    <w:rsid w:val="00E51A25"/>
    <w:rsid w:val="00E533BB"/>
    <w:rsid w:val="00E55A4A"/>
    <w:rsid w:val="00E56655"/>
    <w:rsid w:val="00E57737"/>
    <w:rsid w:val="00E60105"/>
    <w:rsid w:val="00E6131A"/>
    <w:rsid w:val="00E6332E"/>
    <w:rsid w:val="00E63867"/>
    <w:rsid w:val="00E73145"/>
    <w:rsid w:val="00E748F3"/>
    <w:rsid w:val="00E7673C"/>
    <w:rsid w:val="00E76C38"/>
    <w:rsid w:val="00E911C8"/>
    <w:rsid w:val="00E9277C"/>
    <w:rsid w:val="00E96183"/>
    <w:rsid w:val="00E972A8"/>
    <w:rsid w:val="00EA11AE"/>
    <w:rsid w:val="00EA178B"/>
    <w:rsid w:val="00EA260D"/>
    <w:rsid w:val="00EA411F"/>
    <w:rsid w:val="00EA54EE"/>
    <w:rsid w:val="00EA5F41"/>
    <w:rsid w:val="00EA6C5B"/>
    <w:rsid w:val="00EA7E73"/>
    <w:rsid w:val="00EB0931"/>
    <w:rsid w:val="00EB2398"/>
    <w:rsid w:val="00EB5462"/>
    <w:rsid w:val="00EB71DC"/>
    <w:rsid w:val="00EB750C"/>
    <w:rsid w:val="00EC0B9B"/>
    <w:rsid w:val="00EC5A52"/>
    <w:rsid w:val="00EC69BD"/>
    <w:rsid w:val="00EC799C"/>
    <w:rsid w:val="00ED5080"/>
    <w:rsid w:val="00EE04F7"/>
    <w:rsid w:val="00EE390E"/>
    <w:rsid w:val="00EE4073"/>
    <w:rsid w:val="00EE5716"/>
    <w:rsid w:val="00EE6727"/>
    <w:rsid w:val="00EF2ECD"/>
    <w:rsid w:val="00EF3564"/>
    <w:rsid w:val="00EF3976"/>
    <w:rsid w:val="00EF4C95"/>
    <w:rsid w:val="00EF67E4"/>
    <w:rsid w:val="00EF6844"/>
    <w:rsid w:val="00EF6ADB"/>
    <w:rsid w:val="00F03229"/>
    <w:rsid w:val="00F033A3"/>
    <w:rsid w:val="00F06659"/>
    <w:rsid w:val="00F07FDD"/>
    <w:rsid w:val="00F11564"/>
    <w:rsid w:val="00F12395"/>
    <w:rsid w:val="00F1623E"/>
    <w:rsid w:val="00F16F68"/>
    <w:rsid w:val="00F24797"/>
    <w:rsid w:val="00F24885"/>
    <w:rsid w:val="00F30EE7"/>
    <w:rsid w:val="00F32ADE"/>
    <w:rsid w:val="00F33FF7"/>
    <w:rsid w:val="00F34755"/>
    <w:rsid w:val="00F34857"/>
    <w:rsid w:val="00F36A39"/>
    <w:rsid w:val="00F379A9"/>
    <w:rsid w:val="00F40D66"/>
    <w:rsid w:val="00F4140A"/>
    <w:rsid w:val="00F429BD"/>
    <w:rsid w:val="00F43480"/>
    <w:rsid w:val="00F46896"/>
    <w:rsid w:val="00F4730B"/>
    <w:rsid w:val="00F47D7F"/>
    <w:rsid w:val="00F514B0"/>
    <w:rsid w:val="00F54C5C"/>
    <w:rsid w:val="00F573B1"/>
    <w:rsid w:val="00F57805"/>
    <w:rsid w:val="00F67DDF"/>
    <w:rsid w:val="00F70443"/>
    <w:rsid w:val="00F72B65"/>
    <w:rsid w:val="00F74F39"/>
    <w:rsid w:val="00F7772E"/>
    <w:rsid w:val="00F77DBF"/>
    <w:rsid w:val="00F811B8"/>
    <w:rsid w:val="00F82276"/>
    <w:rsid w:val="00F823B7"/>
    <w:rsid w:val="00F8339E"/>
    <w:rsid w:val="00F83490"/>
    <w:rsid w:val="00F845B8"/>
    <w:rsid w:val="00F854C8"/>
    <w:rsid w:val="00F901F7"/>
    <w:rsid w:val="00F91E92"/>
    <w:rsid w:val="00F93174"/>
    <w:rsid w:val="00F93D86"/>
    <w:rsid w:val="00F94A0C"/>
    <w:rsid w:val="00F951C9"/>
    <w:rsid w:val="00F95CC7"/>
    <w:rsid w:val="00F96BDB"/>
    <w:rsid w:val="00FA435B"/>
    <w:rsid w:val="00FA7EC3"/>
    <w:rsid w:val="00FB1ACF"/>
    <w:rsid w:val="00FB38BA"/>
    <w:rsid w:val="00FC229F"/>
    <w:rsid w:val="00FC4A92"/>
    <w:rsid w:val="00FC5151"/>
    <w:rsid w:val="00FC57C6"/>
    <w:rsid w:val="00FC6477"/>
    <w:rsid w:val="00FC6ACF"/>
    <w:rsid w:val="00FD102A"/>
    <w:rsid w:val="00FD4CB7"/>
    <w:rsid w:val="00FD5291"/>
    <w:rsid w:val="00FD6345"/>
    <w:rsid w:val="00FD7BDD"/>
    <w:rsid w:val="00FE3BEA"/>
    <w:rsid w:val="00FE3BFA"/>
    <w:rsid w:val="00FE44F7"/>
    <w:rsid w:val="00FE46E3"/>
    <w:rsid w:val="00FE76BB"/>
    <w:rsid w:val="00FF1036"/>
    <w:rsid w:val="00FF123E"/>
    <w:rsid w:val="00FF13BC"/>
    <w:rsid w:val="00FF37B3"/>
    <w:rsid w:val="00FF3D0D"/>
    <w:rsid w:val="02063FE0"/>
    <w:rsid w:val="03BB6C69"/>
    <w:rsid w:val="054E05C4"/>
    <w:rsid w:val="078C55F0"/>
    <w:rsid w:val="07EA216B"/>
    <w:rsid w:val="0A913FBA"/>
    <w:rsid w:val="0B2265E1"/>
    <w:rsid w:val="0F2A1983"/>
    <w:rsid w:val="10090E5D"/>
    <w:rsid w:val="1073180E"/>
    <w:rsid w:val="140343F0"/>
    <w:rsid w:val="15067F8B"/>
    <w:rsid w:val="17D77DA9"/>
    <w:rsid w:val="1BA53054"/>
    <w:rsid w:val="1C0F769C"/>
    <w:rsid w:val="1DB17822"/>
    <w:rsid w:val="1EDD57EB"/>
    <w:rsid w:val="1FE858D8"/>
    <w:rsid w:val="204547AB"/>
    <w:rsid w:val="209F7BF6"/>
    <w:rsid w:val="22154840"/>
    <w:rsid w:val="257E5B91"/>
    <w:rsid w:val="29020CD6"/>
    <w:rsid w:val="3647586B"/>
    <w:rsid w:val="36A61D48"/>
    <w:rsid w:val="3C632894"/>
    <w:rsid w:val="440F27B9"/>
    <w:rsid w:val="44F24FAA"/>
    <w:rsid w:val="468C7A67"/>
    <w:rsid w:val="47A81FAC"/>
    <w:rsid w:val="49206389"/>
    <w:rsid w:val="4D4B515F"/>
    <w:rsid w:val="4FC5751C"/>
    <w:rsid w:val="512115A6"/>
    <w:rsid w:val="52730954"/>
    <w:rsid w:val="53986FA1"/>
    <w:rsid w:val="5E0008B4"/>
    <w:rsid w:val="5FB4440F"/>
    <w:rsid w:val="62A87C1E"/>
    <w:rsid w:val="65711CFD"/>
    <w:rsid w:val="65755D41"/>
    <w:rsid w:val="67DE774C"/>
    <w:rsid w:val="68251C6A"/>
    <w:rsid w:val="6A3264C7"/>
    <w:rsid w:val="6C2D03CF"/>
    <w:rsid w:val="6C3B2B87"/>
    <w:rsid w:val="6CD27D15"/>
    <w:rsid w:val="6FCD7F70"/>
    <w:rsid w:val="736E7808"/>
    <w:rsid w:val="767501A1"/>
    <w:rsid w:val="76E37E73"/>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jc w:val="both"/>
    </w:pPr>
    <w:rPr>
      <w:rFonts w:ascii="Times New Roman" w:hAnsi="Times New Roman" w:eastAsia="Calibri" w:cs="Calibri"/>
      <w:sz w:val="24"/>
      <w:szCs w:val="22"/>
      <w:lang w:val="id-ID" w:eastAsia="id-ID" w:bidi="ar-SA"/>
    </w:rPr>
  </w:style>
  <w:style w:type="paragraph" w:styleId="2">
    <w:name w:val="heading 1"/>
    <w:basedOn w:val="1"/>
    <w:next w:val="1"/>
    <w:link w:val="32"/>
    <w:autoRedefine/>
    <w:qFormat/>
    <w:uiPriority w:val="9"/>
    <w:pPr>
      <w:keepNext/>
      <w:keepLines/>
      <w:spacing w:before="240" w:after="0"/>
      <w:jc w:val="center"/>
      <w:outlineLvl w:val="0"/>
    </w:pPr>
    <w:rPr>
      <w:rFonts w:eastAsiaTheme="majorEastAsia" w:cstheme="majorBidi"/>
      <w:b/>
      <w:sz w:val="28"/>
      <w:szCs w:val="32"/>
      <w:lang w:val="en-US"/>
    </w:rPr>
  </w:style>
  <w:style w:type="paragraph" w:styleId="3">
    <w:name w:val="heading 2"/>
    <w:basedOn w:val="1"/>
    <w:next w:val="1"/>
    <w:link w:val="30"/>
    <w:autoRedefine/>
    <w:unhideWhenUsed/>
    <w:qFormat/>
    <w:uiPriority w:val="9"/>
    <w:pPr>
      <w:keepNext/>
      <w:keepLines/>
      <w:spacing w:before="40" w:after="0" w:line="480" w:lineRule="auto"/>
      <w:outlineLvl w:val="1"/>
    </w:pPr>
    <w:rPr>
      <w:rFonts w:eastAsiaTheme="majorEastAsia" w:cstheme="majorBidi"/>
      <w:b/>
      <w:szCs w:val="26"/>
      <w:lang w:val="en-US"/>
    </w:rPr>
  </w:style>
  <w:style w:type="paragraph" w:styleId="4">
    <w:name w:val="heading 3"/>
    <w:basedOn w:val="1"/>
    <w:next w:val="5"/>
    <w:link w:val="31"/>
    <w:autoRedefine/>
    <w:unhideWhenUsed/>
    <w:qFormat/>
    <w:uiPriority w:val="9"/>
    <w:pPr>
      <w:keepNext/>
      <w:keepLines/>
      <w:spacing w:before="40" w:after="0"/>
      <w:outlineLvl w:val="2"/>
    </w:pPr>
    <w:rPr>
      <w:rFonts w:cs="Times New Roman" w:eastAsiaTheme="majorEastAsia"/>
      <w:b/>
      <w:szCs w:val="24"/>
    </w:rPr>
  </w:style>
  <w:style w:type="paragraph" w:styleId="6">
    <w:name w:val="heading 4"/>
    <w:basedOn w:val="1"/>
    <w:next w:val="5"/>
    <w:link w:val="34"/>
    <w:autoRedefine/>
    <w:unhideWhenUsed/>
    <w:qFormat/>
    <w:uiPriority w:val="9"/>
    <w:pPr>
      <w:keepNext/>
      <w:keepLines/>
      <w:numPr>
        <w:ilvl w:val="0"/>
        <w:numId w:val="1"/>
      </w:numPr>
      <w:spacing w:before="40" w:after="0"/>
      <w:ind w:left="426"/>
      <w:jc w:val="left"/>
      <w:outlineLvl w:val="3"/>
    </w:pPr>
    <w:rPr>
      <w:rFonts w:eastAsiaTheme="majorEastAsia" w:cstheme="majorBidi"/>
      <w:b/>
      <w:color w:val="000000"/>
      <w:szCs w:val="26"/>
      <w:lang w:val="en-US"/>
      <w14:scene3d w14:prst="orthographicFront">
        <w14:lightRig w14:rig="threePt" w14:dir="t">
          <w14:rot w14:lat="0" w14:lon="0" w14:rev="0"/>
        </w14:lightRig>
      </w14:scene3d>
    </w:rPr>
  </w:style>
  <w:style w:type="paragraph" w:styleId="7">
    <w:name w:val="heading 5"/>
    <w:basedOn w:val="1"/>
    <w:next w:val="1"/>
    <w:link w:val="40"/>
    <w:unhideWhenUsed/>
    <w:qFormat/>
    <w:uiPriority w:val="9"/>
    <w:pPr>
      <w:keepNext/>
      <w:keepLines/>
      <w:spacing w:before="40" w:after="0"/>
      <w:outlineLvl w:val="4"/>
    </w:pPr>
    <w:rPr>
      <w:rFonts w:asciiTheme="majorHAnsi" w:hAnsiTheme="majorHAnsi" w:eastAsiaTheme="majorEastAsia" w:cstheme="majorBidi"/>
      <w:color w:val="2F5597" w:themeColor="accent1" w:themeShade="BF"/>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42"/>
    <w:qFormat/>
    <w:uiPriority w:val="0"/>
    <w:pPr>
      <w:spacing w:before="180" w:after="180"/>
    </w:pPr>
  </w:style>
  <w:style w:type="paragraph" w:styleId="10">
    <w:name w:val="Balloon Text"/>
    <w:basedOn w:val="1"/>
    <w:link w:val="50"/>
    <w:semiHidden/>
    <w:unhideWhenUsed/>
    <w:qFormat/>
    <w:uiPriority w:val="99"/>
    <w:pPr>
      <w:spacing w:after="0" w:line="240" w:lineRule="auto"/>
    </w:pPr>
    <w:rPr>
      <w:rFonts w:ascii="Segoe UI" w:hAnsi="Segoe UI" w:cs="Segoe UI"/>
      <w:sz w:val="18"/>
      <w:szCs w:val="18"/>
    </w:rPr>
  </w:style>
  <w:style w:type="paragraph" w:styleId="11">
    <w:name w:val="caption"/>
    <w:basedOn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2">
    <w:name w:val="annotation reference"/>
    <w:basedOn w:val="8"/>
    <w:semiHidden/>
    <w:unhideWhenUsed/>
    <w:qFormat/>
    <w:uiPriority w:val="99"/>
    <w:rPr>
      <w:sz w:val="16"/>
      <w:szCs w:val="16"/>
    </w:rPr>
  </w:style>
  <w:style w:type="paragraph" w:styleId="13">
    <w:name w:val="annotation text"/>
    <w:basedOn w:val="1"/>
    <w:link w:val="48"/>
    <w:semiHidden/>
    <w:unhideWhenUsed/>
    <w:qFormat/>
    <w:uiPriority w:val="99"/>
    <w:pPr>
      <w:spacing w:line="240" w:lineRule="auto"/>
    </w:pPr>
    <w:rPr>
      <w:sz w:val="20"/>
      <w:szCs w:val="20"/>
    </w:rPr>
  </w:style>
  <w:style w:type="paragraph" w:styleId="14">
    <w:name w:val="annotation subject"/>
    <w:basedOn w:val="13"/>
    <w:next w:val="13"/>
    <w:link w:val="49"/>
    <w:semiHidden/>
    <w:unhideWhenUsed/>
    <w:qFormat/>
    <w:uiPriority w:val="99"/>
    <w:rPr>
      <w:b/>
      <w:bCs/>
    </w:rPr>
  </w:style>
  <w:style w:type="character" w:styleId="15">
    <w:name w:val="Emphasis"/>
    <w:basedOn w:val="8"/>
    <w:qFormat/>
    <w:uiPriority w:val="20"/>
    <w:rPr>
      <w:i/>
      <w:iCs/>
    </w:rPr>
  </w:style>
  <w:style w:type="character" w:styleId="16">
    <w:name w:val="endnote reference"/>
    <w:basedOn w:val="8"/>
    <w:semiHidden/>
    <w:unhideWhenUsed/>
    <w:qFormat/>
    <w:uiPriority w:val="99"/>
    <w:rPr>
      <w:vertAlign w:val="superscript"/>
    </w:rPr>
  </w:style>
  <w:style w:type="paragraph" w:styleId="17">
    <w:name w:val="endnote text"/>
    <w:basedOn w:val="1"/>
    <w:link w:val="73"/>
    <w:semiHidden/>
    <w:unhideWhenUsed/>
    <w:qFormat/>
    <w:uiPriority w:val="99"/>
    <w:pPr>
      <w:spacing w:after="0" w:line="240" w:lineRule="auto"/>
    </w:pPr>
    <w:rPr>
      <w:sz w:val="20"/>
      <w:szCs w:val="20"/>
    </w:rPr>
  </w:style>
  <w:style w:type="character" w:styleId="18">
    <w:name w:val="FollowedHyperlink"/>
    <w:basedOn w:val="8"/>
    <w:semiHidden/>
    <w:unhideWhenUsed/>
    <w:qFormat/>
    <w:uiPriority w:val="99"/>
    <w:rPr>
      <w:color w:val="954F72" w:themeColor="followedHyperlink"/>
      <w:u w:val="single"/>
      <w14:textFill>
        <w14:solidFill>
          <w14:schemeClr w14:val="folHlink"/>
        </w14:solidFill>
      </w14:textFill>
    </w:rPr>
  </w:style>
  <w:style w:type="paragraph" w:styleId="19">
    <w:name w:val="footer"/>
    <w:basedOn w:val="1"/>
    <w:link w:val="37"/>
    <w:unhideWhenUsed/>
    <w:qFormat/>
    <w:uiPriority w:val="99"/>
    <w:pPr>
      <w:tabs>
        <w:tab w:val="center" w:pos="4513"/>
        <w:tab w:val="right" w:pos="9026"/>
      </w:tabs>
      <w:spacing w:after="0" w:line="240" w:lineRule="auto"/>
    </w:pPr>
  </w:style>
  <w:style w:type="paragraph" w:styleId="20">
    <w:name w:val="header"/>
    <w:basedOn w:val="1"/>
    <w:link w:val="36"/>
    <w:unhideWhenUsed/>
    <w:qFormat/>
    <w:uiPriority w:val="99"/>
    <w:pPr>
      <w:tabs>
        <w:tab w:val="center" w:pos="4513"/>
        <w:tab w:val="right" w:pos="9026"/>
      </w:tabs>
      <w:spacing w:after="0" w:line="240" w:lineRule="auto"/>
    </w:pPr>
  </w:style>
  <w:style w:type="character" w:styleId="21">
    <w:name w:val="HTML Code"/>
    <w:basedOn w:val="8"/>
    <w:semiHidden/>
    <w:unhideWhenUsed/>
    <w:qFormat/>
    <w:uiPriority w:val="99"/>
    <w:rPr>
      <w:rFonts w:ascii="Courier New" w:hAnsi="Courier New" w:eastAsia="Times New Roman" w:cs="Courier New"/>
      <w:sz w:val="20"/>
      <w:szCs w:val="20"/>
    </w:rPr>
  </w:style>
  <w:style w:type="character" w:styleId="22">
    <w:name w:val="Hyperlink"/>
    <w:basedOn w:val="8"/>
    <w:unhideWhenUsed/>
    <w:qFormat/>
    <w:uiPriority w:val="99"/>
    <w:rPr>
      <w:color w:val="0563C1" w:themeColor="hyperlink"/>
      <w:u w:val="single"/>
      <w14:textFill>
        <w14:solidFill>
          <w14:schemeClr w14:val="hlink"/>
        </w14:solidFill>
      </w14:textFill>
    </w:rPr>
  </w:style>
  <w:style w:type="paragraph" w:styleId="23">
    <w:name w:val="Normal (Web)"/>
    <w:basedOn w:val="1"/>
    <w:unhideWhenUsed/>
    <w:qFormat/>
    <w:uiPriority w:val="99"/>
    <w:pPr>
      <w:spacing w:before="100" w:beforeAutospacing="1" w:after="100" w:afterAutospacing="1" w:line="240" w:lineRule="auto"/>
      <w:jc w:val="left"/>
    </w:pPr>
    <w:rPr>
      <w:rFonts w:eastAsia="Times New Roman" w:cs="Times New Roman"/>
      <w:szCs w:val="24"/>
    </w:rPr>
  </w:style>
  <w:style w:type="character" w:styleId="24">
    <w:name w:val="Strong"/>
    <w:basedOn w:val="8"/>
    <w:qFormat/>
    <w:uiPriority w:val="22"/>
    <w:rPr>
      <w:b/>
      <w:bCs/>
    </w:rPr>
  </w:style>
  <w:style w:type="table" w:styleId="25">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6">
    <w:name w:val="table of figures"/>
    <w:basedOn w:val="1"/>
    <w:next w:val="1"/>
    <w:unhideWhenUsed/>
    <w:qFormat/>
    <w:uiPriority w:val="99"/>
    <w:pPr>
      <w:spacing w:after="0"/>
    </w:pPr>
  </w:style>
  <w:style w:type="paragraph" w:styleId="27">
    <w:name w:val="toc 1"/>
    <w:basedOn w:val="1"/>
    <w:next w:val="1"/>
    <w:autoRedefine/>
    <w:unhideWhenUsed/>
    <w:qFormat/>
    <w:uiPriority w:val="39"/>
    <w:pPr>
      <w:tabs>
        <w:tab w:val="right" w:leader="dot" w:pos="7927"/>
      </w:tabs>
      <w:spacing w:after="100" w:line="240" w:lineRule="auto"/>
    </w:pPr>
    <w:rPr>
      <w:rFonts w:eastAsia="Arial" w:cs="Times New Roman"/>
      <w:bCs/>
      <w:lang w:val="en-US"/>
    </w:rPr>
  </w:style>
  <w:style w:type="paragraph" w:styleId="28">
    <w:name w:val="toc 2"/>
    <w:basedOn w:val="1"/>
    <w:next w:val="1"/>
    <w:autoRedefine/>
    <w:unhideWhenUsed/>
    <w:qFormat/>
    <w:uiPriority w:val="39"/>
    <w:pPr>
      <w:spacing w:after="100"/>
      <w:ind w:left="240"/>
    </w:pPr>
  </w:style>
  <w:style w:type="paragraph" w:styleId="29">
    <w:name w:val="toc 3"/>
    <w:basedOn w:val="1"/>
    <w:next w:val="1"/>
    <w:autoRedefine/>
    <w:unhideWhenUsed/>
    <w:qFormat/>
    <w:uiPriority w:val="39"/>
    <w:pPr>
      <w:spacing w:after="100"/>
      <w:ind w:left="480"/>
    </w:pPr>
  </w:style>
  <w:style w:type="character" w:customStyle="1" w:styleId="30">
    <w:name w:val="Heading 2 Char"/>
    <w:basedOn w:val="8"/>
    <w:link w:val="3"/>
    <w:qFormat/>
    <w:uiPriority w:val="9"/>
    <w:rPr>
      <w:rFonts w:eastAsiaTheme="majorEastAsia" w:cstheme="majorBidi"/>
      <w:b/>
      <w:sz w:val="24"/>
      <w:szCs w:val="26"/>
      <w:lang w:val="en-US"/>
    </w:rPr>
  </w:style>
  <w:style w:type="character" w:customStyle="1" w:styleId="31">
    <w:name w:val="Heading 3 Char"/>
    <w:basedOn w:val="8"/>
    <w:link w:val="4"/>
    <w:qFormat/>
    <w:uiPriority w:val="9"/>
    <w:rPr>
      <w:rFonts w:ascii="Times New Roman" w:hAnsi="Times New Roman" w:cs="Times New Roman" w:eastAsiaTheme="majorEastAsia"/>
      <w:b/>
      <w:sz w:val="24"/>
      <w:szCs w:val="24"/>
      <w:lang w:eastAsia="id-ID"/>
    </w:rPr>
  </w:style>
  <w:style w:type="character" w:customStyle="1" w:styleId="32">
    <w:name w:val="Heading 1 Char"/>
    <w:basedOn w:val="8"/>
    <w:link w:val="2"/>
    <w:qFormat/>
    <w:uiPriority w:val="9"/>
    <w:rPr>
      <w:rFonts w:eastAsiaTheme="majorEastAsia" w:cstheme="majorBidi"/>
      <w:b/>
      <w:sz w:val="28"/>
      <w:szCs w:val="32"/>
      <w:lang w:val="en-US"/>
    </w:rPr>
  </w:style>
  <w:style w:type="paragraph" w:styleId="33">
    <w:name w:val="List Paragraph"/>
    <w:basedOn w:val="1"/>
    <w:qFormat/>
    <w:uiPriority w:val="34"/>
    <w:pPr>
      <w:ind w:left="720"/>
      <w:contextualSpacing/>
    </w:pPr>
  </w:style>
  <w:style w:type="character" w:customStyle="1" w:styleId="34">
    <w:name w:val="Heading 4 Char"/>
    <w:basedOn w:val="8"/>
    <w:link w:val="6"/>
    <w:qFormat/>
    <w:uiPriority w:val="9"/>
    <w:rPr>
      <w:rFonts w:ascii="Times New Roman" w:hAnsi="Times New Roman" w:eastAsiaTheme="majorEastAsia" w:cstheme="majorBidi"/>
      <w:b/>
      <w:color w:val="000000"/>
      <w:sz w:val="24"/>
      <w:szCs w:val="26"/>
      <w:lang w:val="en-US" w:eastAsia="id-ID"/>
      <w14:scene3d w14:prst="orthographicFront">
        <w14:lightRig w14:rig="threePt" w14:dir="t">
          <w14:rot w14:lat="0" w14:lon="0" w14:rev="0"/>
        </w14:lightRig>
      </w14:scene3d>
    </w:rPr>
  </w:style>
  <w:style w:type="character" w:styleId="35">
    <w:name w:val="Placeholder Text"/>
    <w:basedOn w:val="8"/>
    <w:semiHidden/>
    <w:qFormat/>
    <w:uiPriority w:val="99"/>
    <w:rPr>
      <w:color w:val="808080"/>
    </w:rPr>
  </w:style>
  <w:style w:type="character" w:customStyle="1" w:styleId="36">
    <w:name w:val="Header Char"/>
    <w:basedOn w:val="8"/>
    <w:link w:val="20"/>
    <w:qFormat/>
    <w:uiPriority w:val="99"/>
    <w:rPr>
      <w:rFonts w:ascii="Times New Roman" w:hAnsi="Times New Roman" w:cs="Calibri"/>
      <w:sz w:val="24"/>
      <w:lang w:eastAsia="id-ID"/>
    </w:rPr>
  </w:style>
  <w:style w:type="character" w:customStyle="1" w:styleId="37">
    <w:name w:val="Footer Char"/>
    <w:basedOn w:val="8"/>
    <w:link w:val="19"/>
    <w:qFormat/>
    <w:uiPriority w:val="99"/>
    <w:rPr>
      <w:rFonts w:ascii="Times New Roman" w:hAnsi="Times New Roman" w:cs="Calibri"/>
      <w:sz w:val="24"/>
      <w:lang w:eastAsia="id-ID"/>
    </w:rPr>
  </w:style>
  <w:style w:type="character" w:customStyle="1" w:styleId="38">
    <w:name w:val="math-inline"/>
    <w:basedOn w:val="8"/>
    <w:qFormat/>
    <w:uiPriority w:val="0"/>
  </w:style>
  <w:style w:type="paragraph" w:styleId="39">
    <w:name w:val="No Spacing"/>
    <w:qFormat/>
    <w:uiPriority w:val="1"/>
    <w:pPr>
      <w:jc w:val="both"/>
    </w:pPr>
    <w:rPr>
      <w:rFonts w:ascii="Times New Roman" w:hAnsi="Times New Roman" w:eastAsia="Calibri" w:cs="Calibri"/>
      <w:sz w:val="24"/>
      <w:szCs w:val="22"/>
      <w:lang w:val="id-ID" w:eastAsia="id-ID" w:bidi="ar-SA"/>
    </w:rPr>
  </w:style>
  <w:style w:type="character" w:customStyle="1" w:styleId="40">
    <w:name w:val="Heading 5 Char"/>
    <w:basedOn w:val="8"/>
    <w:link w:val="7"/>
    <w:qFormat/>
    <w:uiPriority w:val="9"/>
    <w:rPr>
      <w:rFonts w:asciiTheme="majorHAnsi" w:hAnsiTheme="majorHAnsi" w:eastAsiaTheme="majorEastAsia" w:cstheme="majorBidi"/>
      <w:color w:val="2F5597" w:themeColor="accent1" w:themeShade="BF"/>
      <w:sz w:val="24"/>
      <w:lang w:eastAsia="id-ID"/>
    </w:rPr>
  </w:style>
  <w:style w:type="character" w:customStyle="1" w:styleId="41">
    <w:name w:val="Verbatim Char"/>
    <w:basedOn w:val="42"/>
    <w:link w:val="43"/>
    <w:qFormat/>
    <w:uiPriority w:val="0"/>
    <w:rPr>
      <w:rFonts w:ascii="Consolas" w:hAnsi="Consolas"/>
    </w:rPr>
  </w:style>
  <w:style w:type="character" w:customStyle="1" w:styleId="42">
    <w:name w:val="Body Text Char"/>
    <w:basedOn w:val="8"/>
    <w:link w:val="5"/>
    <w:qFormat/>
    <w:uiPriority w:val="0"/>
  </w:style>
  <w:style w:type="paragraph" w:customStyle="1" w:styleId="43">
    <w:name w:val="Source Code"/>
    <w:basedOn w:val="1"/>
    <w:link w:val="41"/>
    <w:qFormat/>
    <w:uiPriority w:val="0"/>
    <w:pPr>
      <w:wordWrap w:val="0"/>
      <w:spacing w:after="200" w:line="240" w:lineRule="auto"/>
      <w:jc w:val="left"/>
    </w:pPr>
    <w:rPr>
      <w:rFonts w:ascii="Consolas" w:hAnsi="Consolas" w:cstheme="minorBidi"/>
      <w:sz w:val="22"/>
      <w:lang w:eastAsia="en-US"/>
    </w:rPr>
  </w:style>
  <w:style w:type="paragraph" w:customStyle="1" w:styleId="44">
    <w:name w:val="Heading 41"/>
    <w:basedOn w:val="6"/>
    <w:next w:val="6"/>
    <w:link w:val="45"/>
    <w:autoRedefine/>
    <w:qFormat/>
    <w:uiPriority w:val="0"/>
    <w:pPr>
      <w:numPr>
        <w:numId w:val="0"/>
      </w:numPr>
    </w:pPr>
  </w:style>
  <w:style w:type="character" w:customStyle="1" w:styleId="45">
    <w:name w:val="heading 4 Char"/>
    <w:basedOn w:val="8"/>
    <w:link w:val="44"/>
    <w:qFormat/>
    <w:uiPriority w:val="0"/>
    <w:rPr>
      <w:rFonts w:ascii="Times New Roman" w:hAnsi="Times New Roman" w:eastAsiaTheme="majorEastAsia" w:cstheme="majorBidi"/>
      <w:b/>
      <w:color w:val="000000"/>
      <w:sz w:val="24"/>
      <w:szCs w:val="26"/>
      <w:lang w:val="en-US" w:eastAsia="id-ID"/>
      <w14:scene3d w14:prst="orthographicFront">
        <w14:lightRig w14:rig="threePt" w14:dir="t">
          <w14:rot w14:lat="0" w14:lon="0" w14:rev="0"/>
        </w14:lightRig>
      </w14:scene3d>
    </w:rPr>
  </w:style>
  <w:style w:type="character" w:customStyle="1" w:styleId="46">
    <w:name w:val="Unresolved Mention1"/>
    <w:basedOn w:val="8"/>
    <w:semiHidden/>
    <w:unhideWhenUsed/>
    <w:qFormat/>
    <w:uiPriority w:val="99"/>
    <w:rPr>
      <w:color w:val="605E5C"/>
      <w:shd w:val="clear" w:color="auto" w:fill="E1DFDD"/>
    </w:rPr>
  </w:style>
  <w:style w:type="table" w:customStyle="1" w:styleId="47">
    <w:name w:val="Table Grid Light1"/>
    <w:basedOn w:val="9"/>
    <w:qFormat/>
    <w:uiPriority w:val="40"/>
    <w:rPr>
      <w:rFonts w:eastAsiaTheme="minorHAns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48">
    <w:name w:val="Comment Text Char"/>
    <w:basedOn w:val="8"/>
    <w:link w:val="13"/>
    <w:semiHidden/>
    <w:qFormat/>
    <w:uiPriority w:val="99"/>
    <w:rPr>
      <w:rFonts w:ascii="Times New Roman" w:hAnsi="Times New Roman" w:cs="Calibri"/>
      <w:sz w:val="20"/>
      <w:szCs w:val="20"/>
      <w:lang w:eastAsia="id-ID"/>
    </w:rPr>
  </w:style>
  <w:style w:type="character" w:customStyle="1" w:styleId="49">
    <w:name w:val="Comment Subject Char"/>
    <w:basedOn w:val="48"/>
    <w:link w:val="14"/>
    <w:semiHidden/>
    <w:qFormat/>
    <w:uiPriority w:val="99"/>
    <w:rPr>
      <w:rFonts w:ascii="Times New Roman" w:hAnsi="Times New Roman" w:cs="Calibri"/>
      <w:b/>
      <w:bCs/>
      <w:sz w:val="20"/>
      <w:szCs w:val="20"/>
      <w:lang w:eastAsia="id-ID"/>
    </w:rPr>
  </w:style>
  <w:style w:type="character" w:customStyle="1" w:styleId="50">
    <w:name w:val="Balloon Text Char"/>
    <w:basedOn w:val="8"/>
    <w:link w:val="10"/>
    <w:semiHidden/>
    <w:qFormat/>
    <w:uiPriority w:val="99"/>
    <w:rPr>
      <w:rFonts w:ascii="Segoe UI" w:hAnsi="Segoe UI" w:cs="Segoe UI"/>
      <w:sz w:val="18"/>
      <w:szCs w:val="18"/>
      <w:lang w:eastAsia="id-ID"/>
    </w:rPr>
  </w:style>
  <w:style w:type="character" w:customStyle="1" w:styleId="51">
    <w:name w:val="a_gcmg"/>
    <w:basedOn w:val="8"/>
    <w:qFormat/>
    <w:uiPriority w:val="0"/>
  </w:style>
  <w:style w:type="character" w:customStyle="1" w:styleId="52">
    <w:name w:val="ng-star-inserted"/>
    <w:basedOn w:val="8"/>
    <w:qFormat/>
    <w:uiPriority w:val="0"/>
  </w:style>
  <w:style w:type="character" w:customStyle="1" w:styleId="53">
    <w:name w:val="mord"/>
    <w:basedOn w:val="8"/>
    <w:qFormat/>
    <w:uiPriority w:val="0"/>
  </w:style>
  <w:style w:type="character" w:customStyle="1" w:styleId="54">
    <w:name w:val="vlist-s"/>
    <w:basedOn w:val="8"/>
    <w:qFormat/>
    <w:uiPriority w:val="0"/>
  </w:style>
  <w:style w:type="character" w:customStyle="1" w:styleId="55">
    <w:name w:val="mrel"/>
    <w:basedOn w:val="8"/>
    <w:qFormat/>
    <w:uiPriority w:val="0"/>
  </w:style>
  <w:style w:type="character" w:customStyle="1" w:styleId="56">
    <w:name w:val="mbin"/>
    <w:basedOn w:val="8"/>
    <w:qFormat/>
    <w:uiPriority w:val="0"/>
  </w:style>
  <w:style w:type="character" w:customStyle="1" w:styleId="57">
    <w:name w:val="mpunct"/>
    <w:basedOn w:val="8"/>
    <w:qFormat/>
    <w:uiPriority w:val="0"/>
  </w:style>
  <w:style w:type="character" w:customStyle="1" w:styleId="58">
    <w:name w:val="mopen"/>
    <w:basedOn w:val="8"/>
    <w:qFormat/>
    <w:uiPriority w:val="0"/>
  </w:style>
  <w:style w:type="character" w:customStyle="1" w:styleId="59">
    <w:name w:val="mclose"/>
    <w:basedOn w:val="8"/>
    <w:qFormat/>
    <w:uiPriority w:val="0"/>
  </w:style>
  <w:style w:type="character" w:customStyle="1" w:styleId="60">
    <w:name w:val="citation-70"/>
    <w:basedOn w:val="8"/>
    <w:qFormat/>
    <w:uiPriority w:val="0"/>
  </w:style>
  <w:style w:type="character" w:customStyle="1" w:styleId="61">
    <w:name w:val="katex-mathml"/>
    <w:basedOn w:val="8"/>
    <w:qFormat/>
    <w:uiPriority w:val="0"/>
  </w:style>
  <w:style w:type="character" w:customStyle="1" w:styleId="62">
    <w:name w:val="minner"/>
    <w:basedOn w:val="8"/>
    <w:qFormat/>
    <w:uiPriority w:val="0"/>
  </w:style>
  <w:style w:type="paragraph" w:customStyle="1" w:styleId="63">
    <w:name w:val="pdq2pg_selectionanchorcontainer"/>
    <w:basedOn w:val="1"/>
    <w:qFormat/>
    <w:uiPriority w:val="0"/>
    <w:pPr>
      <w:spacing w:before="100" w:beforeAutospacing="1" w:after="100" w:afterAutospacing="1" w:line="240" w:lineRule="auto"/>
      <w:jc w:val="left"/>
    </w:pPr>
    <w:rPr>
      <w:rFonts w:eastAsia="Times New Roman" w:cs="Times New Roman"/>
      <w:szCs w:val="24"/>
    </w:rPr>
  </w:style>
  <w:style w:type="character" w:customStyle="1" w:styleId="64">
    <w:name w:val="whitespace-normal"/>
    <w:basedOn w:val="8"/>
    <w:qFormat/>
    <w:uiPriority w:val="0"/>
  </w:style>
  <w:style w:type="paragraph" w:customStyle="1" w:styleId="65">
    <w:name w:val="First Paragraph"/>
    <w:basedOn w:val="5"/>
    <w:next w:val="5"/>
    <w:qFormat/>
    <w:uiPriority w:val="0"/>
  </w:style>
  <w:style w:type="paragraph" w:customStyle="1" w:styleId="66">
    <w:name w:val="Compact"/>
    <w:basedOn w:val="5"/>
    <w:qFormat/>
    <w:uiPriority w:val="0"/>
    <w:pPr>
      <w:spacing w:before="36" w:after="36"/>
    </w:pPr>
  </w:style>
  <w:style w:type="table" w:customStyle="1" w:styleId="67">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68">
    <w:name w:val="Captioned Figure"/>
    <w:basedOn w:val="69"/>
    <w:qFormat/>
    <w:uiPriority w:val="0"/>
    <w:pPr>
      <w:keepNext/>
    </w:pPr>
  </w:style>
  <w:style w:type="paragraph" w:customStyle="1" w:styleId="69">
    <w:name w:val="Figure"/>
    <w:basedOn w:val="1"/>
    <w:qFormat/>
    <w:uiPriority w:val="0"/>
  </w:style>
  <w:style w:type="paragraph" w:customStyle="1" w:styleId="70">
    <w:name w:val="Image Caption"/>
    <w:basedOn w:val="11"/>
    <w:qFormat/>
    <w:uiPriority w:val="0"/>
  </w:style>
  <w:style w:type="table" w:customStyle="1" w:styleId="71">
    <w:name w:val="Kisi Tabel1"/>
    <w:basedOn w:val="9"/>
    <w:qFormat/>
    <w:uiPriority w:val="39"/>
    <w:rPr>
      <w:rFonts w:ascii="Calibri" w:hAnsi="Calibri" w:eastAsia="Calibri" w:cs="Calibri"/>
      <w:sz w:val="22"/>
      <w:szCs w:val="22"/>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72">
    <w:name w:val="Unresolved Mention"/>
    <w:basedOn w:val="8"/>
    <w:semiHidden/>
    <w:unhideWhenUsed/>
    <w:qFormat/>
    <w:uiPriority w:val="99"/>
    <w:rPr>
      <w:color w:val="605E5C"/>
      <w:shd w:val="clear" w:color="auto" w:fill="E1DFDD"/>
    </w:rPr>
  </w:style>
  <w:style w:type="character" w:customStyle="1" w:styleId="73">
    <w:name w:val="Endnote Text Char"/>
    <w:basedOn w:val="8"/>
    <w:link w:val="17"/>
    <w:semiHidden/>
    <w:qFormat/>
    <w:uiPriority w:val="99"/>
    <w:rPr>
      <w:rFonts w:eastAsia="Calibri" w:cs="Calibri"/>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7" Type="http://schemas.openxmlformats.org/officeDocument/2006/relationships/fontTable" Target="fontTable.xml"/><Relationship Id="rId76" Type="http://schemas.openxmlformats.org/officeDocument/2006/relationships/customXml" Target="../customXml/item1.xml"/><Relationship Id="rId75" Type="http://schemas.openxmlformats.org/officeDocument/2006/relationships/numbering" Target="numbering.xml"/><Relationship Id="rId74" Type="http://schemas.openxmlformats.org/officeDocument/2006/relationships/image" Target="media/image60.png"/><Relationship Id="rId73" Type="http://schemas.openxmlformats.org/officeDocument/2006/relationships/image" Target="media/image59.png"/><Relationship Id="rId72" Type="http://schemas.openxmlformats.org/officeDocument/2006/relationships/image" Target="media/image58.png"/><Relationship Id="rId71" Type="http://schemas.openxmlformats.org/officeDocument/2006/relationships/image" Target="media/image57.png"/><Relationship Id="rId70" Type="http://schemas.openxmlformats.org/officeDocument/2006/relationships/image" Target="media/image56.png"/><Relationship Id="rId7" Type="http://schemas.openxmlformats.org/officeDocument/2006/relationships/header" Target="header2.xml"/><Relationship Id="rId69" Type="http://schemas.openxmlformats.org/officeDocument/2006/relationships/image" Target="media/image55.png"/><Relationship Id="rId68" Type="http://schemas.openxmlformats.org/officeDocument/2006/relationships/image" Target="media/image54.png"/><Relationship Id="rId67" Type="http://schemas.openxmlformats.org/officeDocument/2006/relationships/image" Target="media/image53.png"/><Relationship Id="rId66" Type="http://schemas.openxmlformats.org/officeDocument/2006/relationships/image" Target="media/image52.png"/><Relationship Id="rId65" Type="http://schemas.openxmlformats.org/officeDocument/2006/relationships/image" Target="media/image51.png"/><Relationship Id="rId64" Type="http://schemas.openxmlformats.org/officeDocument/2006/relationships/image" Target="media/image50.png"/><Relationship Id="rId63" Type="http://schemas.openxmlformats.org/officeDocument/2006/relationships/image" Target="media/image49.png"/><Relationship Id="rId62" Type="http://schemas.openxmlformats.org/officeDocument/2006/relationships/image" Target="media/image48.png"/><Relationship Id="rId61" Type="http://schemas.openxmlformats.org/officeDocument/2006/relationships/image" Target="media/image47.png"/><Relationship Id="rId60" Type="http://schemas.openxmlformats.org/officeDocument/2006/relationships/image" Target="media/image46.png"/><Relationship Id="rId6" Type="http://schemas.openxmlformats.org/officeDocument/2006/relationships/header" Target="header1.xml"/><Relationship Id="rId59" Type="http://schemas.openxmlformats.org/officeDocument/2006/relationships/image" Target="media/image45.png"/><Relationship Id="rId58" Type="http://schemas.openxmlformats.org/officeDocument/2006/relationships/image" Target="media/image44.png"/><Relationship Id="rId57" Type="http://schemas.openxmlformats.org/officeDocument/2006/relationships/image" Target="media/image43.png"/><Relationship Id="rId56" Type="http://schemas.openxmlformats.org/officeDocument/2006/relationships/image" Target="media/image42.png"/><Relationship Id="rId55" Type="http://schemas.openxmlformats.org/officeDocument/2006/relationships/image" Target="media/image41.png"/><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png"/><Relationship Id="rId5" Type="http://schemas.openxmlformats.org/officeDocument/2006/relationships/footer" Target="footer1.xml"/><Relationship Id="rId49" Type="http://schemas.openxmlformats.org/officeDocument/2006/relationships/image" Target="media/image35.png"/><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endnotes" Target="endnotes.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C4359E1-E984-4E8D-B668-E5DF4490F1FB}">
  <ds:schemaRefs/>
</ds:datastoreItem>
</file>

<file path=docProps/app.xml><?xml version="1.0" encoding="utf-8"?>
<Properties xmlns="http://schemas.openxmlformats.org/officeDocument/2006/extended-properties" xmlns:vt="http://schemas.openxmlformats.org/officeDocument/2006/docPropsVTypes">
  <Template>Normal</Template>
  <Pages>140</Pages>
  <Words>25431</Words>
  <Characters>161993</Characters>
  <Lines>3038</Lines>
  <Paragraphs>855</Paragraphs>
  <TotalTime>14</TotalTime>
  <ScaleCrop>false</ScaleCrop>
  <LinksUpToDate>false</LinksUpToDate>
  <CharactersWithSpaces>184721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2026-08-24T01:32:00Z</dcterms:created>
  <dc:creator>T0nnY St4rK</dc:creator>
  <cp:lastModifiedBy>TONNY WAHYU AJI</cp:lastModifiedBy>
  <cp:lastPrinted>2026-08-05T11:04:00Z</cp:lastPrinted>
  <dcterms:modified xsi:type="dcterms:W3CDTF">2026-09-09T06:44:41Z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60b75ba5-00d4-391f-a20a-4545ab614ca4</vt:lpwstr>
  </property>
  <property fmtid="{D5CDD505-2E9C-101B-9397-08002B2CF9AE}" pid="4" name="Mendeley Citation Style_1">
    <vt:lpwstr>http://www.zotero.org/styles/stmkg-skripsi-custom</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http://www.zotero.org/styles/stmkg-skripsi-custom</vt:lpwstr>
  </property>
  <property fmtid="{D5CDD505-2E9C-101B-9397-08002B2CF9AE}" pid="24" name="Mendeley Recent Style Name 9_1">
    <vt:lpwstr>STMKG Skripsi (Custom)</vt:lpwstr>
  </property>
  <property fmtid="{D5CDD505-2E9C-101B-9397-08002B2CF9AE}" pid="25" name="KSOTemplateDocerSaveRecord">
    <vt:lpwstr>eyJoZGlkIjoiOTE5MDhkZmUyZGNhYmFlNGZjNzM3OTk0ZTM1MWQzMDQiLCJ1c2VySWQiOiI5NjIwODIwNDIwNTQifQ==</vt:lpwstr>
  </property>
  <property fmtid="{D5CDD505-2E9C-101B-9397-08002B2CF9AE}" pid="26" name="KSOProductBuildVer">
    <vt:lpwstr>1033-12.1.0.28485</vt:lpwstr>
  </property>
  <property fmtid="{D5CDD505-2E9C-101B-9397-08002B2CF9AE}" pid="27" name="ICV">
    <vt:lpwstr>F4B9A5C7AF2D493C9B01EF0257047EB7_12</vt:lpwstr>
  </property>
</Properties>
</file>